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5947E" w14:textId="77777777" w:rsidR="00F16F00" w:rsidRPr="00347B91" w:rsidRDefault="00F16F00" w:rsidP="00F16F00">
      <w:pPr>
        <w:spacing w:before="120"/>
        <w:contextualSpacing/>
        <w:jc w:val="center"/>
        <w:rPr>
          <w:rFonts w:ascii="Arial Black" w:hAnsi="Arial Black"/>
        </w:rPr>
      </w:pPr>
      <w:r w:rsidRPr="00347B91">
        <w:rPr>
          <w:rFonts w:ascii="Arial Black" w:hAnsi="Arial Black"/>
        </w:rPr>
        <w:t>[Hospital Name]</w:t>
      </w:r>
    </w:p>
    <w:p w14:paraId="470E8ED3" w14:textId="77777777" w:rsidR="00F16F00" w:rsidRDefault="00F16F00" w:rsidP="00F16F00">
      <w:pPr>
        <w:contextualSpacing/>
        <w:jc w:val="center"/>
        <w:rPr>
          <w:i/>
          <w:sz w:val="28"/>
          <w:szCs w:val="28"/>
        </w:rPr>
      </w:pPr>
      <w:r>
        <w:rPr>
          <w:i/>
          <w:sz w:val="28"/>
          <w:szCs w:val="28"/>
        </w:rPr>
        <w:t>Board of Trustees</w:t>
      </w:r>
    </w:p>
    <w:p w14:paraId="148A019B" w14:textId="77777777" w:rsidR="00F475E5" w:rsidRPr="00F16F00" w:rsidRDefault="00B57F7D" w:rsidP="00F16F00">
      <w:pPr>
        <w:spacing w:before="120"/>
        <w:contextualSpacing/>
        <w:jc w:val="center"/>
        <w:rPr>
          <w:sz w:val="40"/>
          <w:szCs w:val="40"/>
        </w:rPr>
      </w:pPr>
      <w:r>
        <w:rPr>
          <w:sz w:val="40"/>
          <w:szCs w:val="40"/>
        </w:rPr>
        <w:t>Audit and Compliance</w:t>
      </w:r>
      <w:r w:rsidR="00F475E5" w:rsidRPr="00F16F00">
        <w:rPr>
          <w:sz w:val="40"/>
          <w:szCs w:val="40"/>
        </w:rPr>
        <w:t xml:space="preserve"> Committee</w:t>
      </w:r>
      <w:r w:rsidR="00205A0B" w:rsidRPr="00F16F00">
        <w:rPr>
          <w:sz w:val="40"/>
          <w:szCs w:val="40"/>
        </w:rPr>
        <w:t xml:space="preserve"> Charter</w:t>
      </w:r>
    </w:p>
    <w:p w14:paraId="0D6C5FB1" w14:textId="77777777" w:rsidR="00974E41" w:rsidRDefault="00974E41" w:rsidP="003305AC">
      <w:pPr>
        <w:spacing w:after="120" w:line="264" w:lineRule="auto"/>
        <w:rPr>
          <w:rFonts w:cs="Times New Roman"/>
          <w:b/>
        </w:rPr>
      </w:pPr>
    </w:p>
    <w:p w14:paraId="119FCE9D" w14:textId="77777777" w:rsidR="00974E41" w:rsidRDefault="00974E41" w:rsidP="003305AC">
      <w:pPr>
        <w:spacing w:after="120" w:line="264" w:lineRule="auto"/>
        <w:rPr>
          <w:rFonts w:cs="Times New Roman"/>
          <w:b/>
        </w:rPr>
      </w:pPr>
    </w:p>
    <w:p w14:paraId="3AC61130" w14:textId="77777777" w:rsidR="00011751" w:rsidRPr="008D17F2" w:rsidRDefault="007C6085" w:rsidP="003305AC">
      <w:pPr>
        <w:spacing w:after="120" w:line="264" w:lineRule="auto"/>
        <w:rPr>
          <w:rFonts w:cs="Times New Roman"/>
          <w:b/>
          <w:sz w:val="28"/>
        </w:rPr>
      </w:pPr>
      <w:r>
        <w:rPr>
          <w:rFonts w:cs="Times New Roman"/>
          <w:b/>
          <w:sz w:val="28"/>
        </w:rPr>
        <w:t>Purpose</w:t>
      </w:r>
    </w:p>
    <w:p w14:paraId="5B8E2219" w14:textId="77777777" w:rsidR="00967CAA" w:rsidRPr="00967CAA" w:rsidRDefault="00967CAA" w:rsidP="003305AC">
      <w:pPr>
        <w:spacing w:after="120" w:line="264" w:lineRule="auto"/>
        <w:rPr>
          <w:rFonts w:cs="Times New Roman"/>
        </w:rPr>
      </w:pPr>
      <w:r>
        <w:rPr>
          <w:rFonts w:cs="Times New Roman"/>
        </w:rPr>
        <w:t xml:space="preserve">The </w:t>
      </w:r>
      <w:r w:rsidR="00B57F7D">
        <w:rPr>
          <w:rFonts w:cs="Times New Roman"/>
        </w:rPr>
        <w:t xml:space="preserve">Audit and Compliance </w:t>
      </w:r>
      <w:r>
        <w:rPr>
          <w:rFonts w:cs="Times New Roman"/>
        </w:rPr>
        <w:t xml:space="preserve">Committee </w:t>
      </w:r>
      <w:r w:rsidR="001A05F2">
        <w:rPr>
          <w:rFonts w:cs="Times New Roman"/>
        </w:rPr>
        <w:t>assist</w:t>
      </w:r>
      <w:r w:rsidR="00E2004B">
        <w:rPr>
          <w:rFonts w:cs="Times New Roman"/>
        </w:rPr>
        <w:t>s</w:t>
      </w:r>
      <w:r w:rsidR="001A05F2">
        <w:rPr>
          <w:rFonts w:cs="Times New Roman"/>
        </w:rPr>
        <w:t xml:space="preserve"> the board in </w:t>
      </w:r>
      <w:r w:rsidR="00E2004B">
        <w:rPr>
          <w:rFonts w:cs="Times New Roman"/>
        </w:rPr>
        <w:t>fulfilling</w:t>
      </w:r>
      <w:r w:rsidR="001A05F2">
        <w:rPr>
          <w:rFonts w:cs="Times New Roman"/>
        </w:rPr>
        <w:t xml:space="preserve"> </w:t>
      </w:r>
      <w:r w:rsidR="00E2004B">
        <w:rPr>
          <w:rFonts w:cs="Times New Roman"/>
        </w:rPr>
        <w:t>its oversight responsibilities:</w:t>
      </w:r>
      <w:r w:rsidR="001A05F2">
        <w:rPr>
          <w:rFonts w:cs="Times New Roman"/>
        </w:rPr>
        <w:t xml:space="preserve"> facilitating and ensuring continuous improvement and adherence to finance, accounting, legal and regulatory policies, procedures and practices at all levels of the organization.</w:t>
      </w:r>
    </w:p>
    <w:p w14:paraId="76BEF3BE" w14:textId="77777777" w:rsidR="00967CAA" w:rsidRPr="00967CAA" w:rsidRDefault="00967CAA" w:rsidP="003305AC">
      <w:pPr>
        <w:spacing w:after="120" w:line="264" w:lineRule="auto"/>
        <w:rPr>
          <w:rFonts w:cs="Times New Roman"/>
        </w:rPr>
      </w:pPr>
    </w:p>
    <w:p w14:paraId="1699B7FD" w14:textId="77777777" w:rsidR="00011751" w:rsidRPr="008D17F2" w:rsidRDefault="002217E2" w:rsidP="003305AC">
      <w:pPr>
        <w:spacing w:after="120" w:line="264" w:lineRule="auto"/>
        <w:rPr>
          <w:rFonts w:cs="Times New Roman"/>
          <w:b/>
          <w:sz w:val="28"/>
        </w:rPr>
      </w:pPr>
      <w:r w:rsidRPr="008D17F2">
        <w:rPr>
          <w:rFonts w:cs="Times New Roman"/>
          <w:b/>
          <w:sz w:val="28"/>
        </w:rPr>
        <w:t>Membership</w:t>
      </w:r>
    </w:p>
    <w:p w14:paraId="2234110C" w14:textId="77777777" w:rsidR="00560BCD" w:rsidRPr="003E48B7" w:rsidRDefault="001A05F2" w:rsidP="003305AC">
      <w:pPr>
        <w:spacing w:after="120" w:line="264" w:lineRule="auto"/>
        <w:rPr>
          <w:rFonts w:cs="Times New Roman"/>
        </w:rPr>
      </w:pPr>
      <w:r w:rsidRPr="003E48B7">
        <w:rPr>
          <w:rFonts w:cs="Times New Roman"/>
        </w:rPr>
        <w:t xml:space="preserve">The </w:t>
      </w:r>
      <w:r w:rsidR="00EB0A82" w:rsidRPr="003E48B7">
        <w:rPr>
          <w:rFonts w:cs="Times New Roman"/>
        </w:rPr>
        <w:t>Audit and Compliance</w:t>
      </w:r>
      <w:r w:rsidRPr="003E48B7">
        <w:rPr>
          <w:rFonts w:cs="Times New Roman"/>
        </w:rPr>
        <w:t xml:space="preserve"> Committee </w:t>
      </w:r>
      <w:r w:rsidR="00E2004B">
        <w:rPr>
          <w:rFonts w:cs="Times New Roman"/>
        </w:rPr>
        <w:t>c</w:t>
      </w:r>
      <w:r w:rsidR="00EB0A82" w:rsidRPr="003E48B7">
        <w:rPr>
          <w:rFonts w:cs="Times New Roman"/>
        </w:rPr>
        <w:t>hair</w:t>
      </w:r>
      <w:r w:rsidR="00700225">
        <w:rPr>
          <w:rFonts w:cs="Times New Roman"/>
        </w:rPr>
        <w:t xml:space="preserve"> and</w:t>
      </w:r>
      <w:r w:rsidR="00E2004B">
        <w:rPr>
          <w:rFonts w:cs="Times New Roman"/>
        </w:rPr>
        <w:t xml:space="preserve"> committee</w:t>
      </w:r>
      <w:r w:rsidR="00700225">
        <w:rPr>
          <w:rFonts w:cs="Times New Roman"/>
        </w:rPr>
        <w:t xml:space="preserve"> members</w:t>
      </w:r>
      <w:r w:rsidR="00EB0A82" w:rsidRPr="003E48B7">
        <w:rPr>
          <w:rFonts w:cs="Times New Roman"/>
        </w:rPr>
        <w:t xml:space="preserve"> </w:t>
      </w:r>
      <w:r w:rsidRPr="003E48B7">
        <w:rPr>
          <w:rFonts w:cs="Times New Roman"/>
        </w:rPr>
        <w:t xml:space="preserve">shall be </w:t>
      </w:r>
      <w:r w:rsidR="00EB0A82" w:rsidRPr="003E48B7">
        <w:rPr>
          <w:rFonts w:cs="Times New Roman"/>
        </w:rPr>
        <w:t>appointed annually</w:t>
      </w:r>
      <w:r w:rsidRPr="003E48B7">
        <w:rPr>
          <w:rFonts w:cs="Times New Roman"/>
        </w:rPr>
        <w:t xml:space="preserve"> by the Board </w:t>
      </w:r>
      <w:r w:rsidR="008E1F36" w:rsidRPr="003E48B7">
        <w:rPr>
          <w:rFonts w:cs="Times New Roman"/>
        </w:rPr>
        <w:t>Chair</w:t>
      </w:r>
      <w:r w:rsidR="00700225">
        <w:rPr>
          <w:rFonts w:cs="Times New Roman"/>
        </w:rPr>
        <w:t xml:space="preserve">.  </w:t>
      </w:r>
      <w:r w:rsidRPr="003E48B7">
        <w:rPr>
          <w:rFonts w:cs="Times New Roman"/>
        </w:rPr>
        <w:t>The Committee shall be comprised of [insert number of committee members</w:t>
      </w:r>
      <w:r w:rsidR="00EB0A82" w:rsidRPr="003E48B7">
        <w:rPr>
          <w:rFonts w:cs="Times New Roman"/>
        </w:rPr>
        <w:t xml:space="preserve"> (e.g. “…shall be comprised of </w:t>
      </w:r>
      <w:r w:rsidR="00267A39">
        <w:rPr>
          <w:rFonts w:cs="Times New Roman"/>
        </w:rPr>
        <w:t>five</w:t>
      </w:r>
      <w:r w:rsidR="00EB0A82" w:rsidRPr="003E48B7">
        <w:rPr>
          <w:rFonts w:cs="Times New Roman"/>
        </w:rPr>
        <w:t xml:space="preserve"> board members</w:t>
      </w:r>
      <w:r w:rsidR="00700225">
        <w:rPr>
          <w:rFonts w:cs="Times New Roman"/>
        </w:rPr>
        <w:t xml:space="preserve"> and may include two non-board members whose accounting or finance </w:t>
      </w:r>
      <w:r w:rsidR="00267A39">
        <w:rPr>
          <w:rFonts w:cs="Times New Roman"/>
        </w:rPr>
        <w:t xml:space="preserve">and legal or compliance </w:t>
      </w:r>
      <w:r w:rsidR="00700225">
        <w:rPr>
          <w:rFonts w:cs="Times New Roman"/>
        </w:rPr>
        <w:t>experience may assist the Committee in fulfilling its responsibilities)</w:t>
      </w:r>
      <w:r w:rsidR="00EB0A82" w:rsidRPr="003E48B7">
        <w:rPr>
          <w:rFonts w:cs="Times New Roman"/>
        </w:rPr>
        <w:t>]</w:t>
      </w:r>
      <w:r w:rsidR="008E1F36" w:rsidRPr="003E48B7">
        <w:rPr>
          <w:rFonts w:cs="Times New Roman"/>
        </w:rPr>
        <w:t>.</w:t>
      </w:r>
      <w:r w:rsidR="00700225">
        <w:rPr>
          <w:rFonts w:cs="Times New Roman"/>
        </w:rPr>
        <w:t xml:space="preserve">  None of the </w:t>
      </w:r>
      <w:r w:rsidR="00560BCD" w:rsidRPr="003E48B7">
        <w:rPr>
          <w:rFonts w:cs="Times New Roman"/>
        </w:rPr>
        <w:t xml:space="preserve">Audit and Compliance Committee members </w:t>
      </w:r>
      <w:r w:rsidR="00700225">
        <w:rPr>
          <w:rFonts w:cs="Times New Roman"/>
        </w:rPr>
        <w:t xml:space="preserve">shall be members of the Finance Committee and each </w:t>
      </w:r>
      <w:r w:rsidR="00560BCD" w:rsidRPr="003E48B7">
        <w:rPr>
          <w:rFonts w:cs="Times New Roman"/>
        </w:rPr>
        <w:t>must be independent and free from any relationship that would interfere with the exercise of his or her</w:t>
      </w:r>
      <w:r w:rsidR="008E1F36" w:rsidRPr="003E48B7">
        <w:rPr>
          <w:rFonts w:cs="Times New Roman"/>
        </w:rPr>
        <w:t xml:space="preserve"> judgment as a committee member</w:t>
      </w:r>
      <w:r w:rsidR="00700225">
        <w:rPr>
          <w:rFonts w:cs="Times New Roman"/>
        </w:rPr>
        <w:t>.</w:t>
      </w:r>
    </w:p>
    <w:p w14:paraId="427EAC50" w14:textId="77777777" w:rsidR="007B4196" w:rsidRPr="003E48B7" w:rsidRDefault="00560BCD" w:rsidP="003305AC">
      <w:pPr>
        <w:spacing w:after="120" w:line="264" w:lineRule="auto"/>
        <w:rPr>
          <w:rFonts w:cs="Times New Roman"/>
        </w:rPr>
      </w:pPr>
      <w:r w:rsidRPr="003E48B7">
        <w:rPr>
          <w:rFonts w:cs="Times New Roman"/>
        </w:rPr>
        <w:t xml:space="preserve">Audit and Compliance Committee members </w:t>
      </w:r>
      <w:r w:rsidR="007B4196" w:rsidRPr="003E48B7">
        <w:rPr>
          <w:rFonts w:cs="Times New Roman"/>
        </w:rPr>
        <w:t>must</w:t>
      </w:r>
      <w:r w:rsidR="00211FCD">
        <w:rPr>
          <w:rFonts w:cs="Times New Roman"/>
        </w:rPr>
        <w:t xml:space="preserve"> possess</w:t>
      </w:r>
      <w:r w:rsidR="007B4196" w:rsidRPr="003E48B7">
        <w:rPr>
          <w:rFonts w:cs="Times New Roman"/>
        </w:rPr>
        <w:t xml:space="preserve"> a general understanding of basic finance, acco</w:t>
      </w:r>
      <w:r w:rsidR="008E1F36" w:rsidRPr="003E48B7">
        <w:rPr>
          <w:rFonts w:cs="Times New Roman"/>
        </w:rPr>
        <w:t xml:space="preserve">unting and compliance </w:t>
      </w:r>
      <w:r w:rsidR="00E16C8E">
        <w:rPr>
          <w:rFonts w:cs="Times New Roman"/>
        </w:rPr>
        <w:t xml:space="preserve">principles and </w:t>
      </w:r>
      <w:r w:rsidR="008E1F36" w:rsidRPr="003E48B7">
        <w:rPr>
          <w:rFonts w:cs="Times New Roman"/>
        </w:rPr>
        <w:t>practices</w:t>
      </w:r>
      <w:r w:rsidR="00700225">
        <w:rPr>
          <w:rFonts w:cs="Times New Roman"/>
        </w:rPr>
        <w:t xml:space="preserve">.  </w:t>
      </w:r>
      <w:r w:rsidR="007B4196" w:rsidRPr="003E48B7">
        <w:rPr>
          <w:rFonts w:cs="Times New Roman"/>
        </w:rPr>
        <w:t>At least [insert number] Committee member(s) must be determined to be a “financial expert”, possessing accounting or related</w:t>
      </w:r>
      <w:r w:rsidR="00F81724" w:rsidRPr="003E48B7">
        <w:rPr>
          <w:rFonts w:cs="Times New Roman"/>
        </w:rPr>
        <w:t xml:space="preserve"> financial management expertise</w:t>
      </w:r>
      <w:r w:rsidR="007B4196" w:rsidRPr="003E48B7">
        <w:rPr>
          <w:rFonts w:cs="Times New Roman"/>
        </w:rPr>
        <w:t xml:space="preserve"> and at least [insert number] Committee member(s) must be determined to be a “legal” or “compliance expert”, possess</w:t>
      </w:r>
      <w:r w:rsidR="00B7214B" w:rsidRPr="003E48B7">
        <w:rPr>
          <w:rFonts w:cs="Times New Roman"/>
        </w:rPr>
        <w:t>ing</w:t>
      </w:r>
      <w:r w:rsidR="007B4196" w:rsidRPr="003E48B7">
        <w:rPr>
          <w:rFonts w:cs="Times New Roman"/>
        </w:rPr>
        <w:t xml:space="preserve"> legal, compliance or ethical management e</w:t>
      </w:r>
      <w:r w:rsidR="008E1F36" w:rsidRPr="003E48B7">
        <w:rPr>
          <w:rFonts w:cs="Times New Roman"/>
        </w:rPr>
        <w:t>xpertise</w:t>
      </w:r>
      <w:r w:rsidR="00267A39">
        <w:rPr>
          <w:rFonts w:cs="Times New Roman"/>
        </w:rPr>
        <w:t>.</w:t>
      </w:r>
    </w:p>
    <w:p w14:paraId="10A54053" w14:textId="77777777" w:rsidR="00B7214B" w:rsidRDefault="00B7214B" w:rsidP="003305AC">
      <w:pPr>
        <w:pStyle w:val="ListParagraph"/>
        <w:spacing w:after="120" w:line="264" w:lineRule="auto"/>
        <w:contextualSpacing w:val="0"/>
        <w:rPr>
          <w:rFonts w:cs="Times New Roman"/>
        </w:rPr>
      </w:pPr>
    </w:p>
    <w:p w14:paraId="2EA159AA" w14:textId="77777777" w:rsidR="00B7214B" w:rsidRPr="008D17F2" w:rsidRDefault="00B7214B" w:rsidP="003305AC">
      <w:pPr>
        <w:spacing w:after="120" w:line="264" w:lineRule="auto"/>
        <w:rPr>
          <w:rFonts w:cs="Times New Roman"/>
          <w:b/>
          <w:sz w:val="28"/>
        </w:rPr>
      </w:pPr>
      <w:r w:rsidRPr="008D17F2">
        <w:rPr>
          <w:rFonts w:cs="Times New Roman"/>
          <w:b/>
          <w:sz w:val="28"/>
        </w:rPr>
        <w:t>Meetings</w:t>
      </w:r>
    </w:p>
    <w:p w14:paraId="7EF99A5B" w14:textId="77777777" w:rsidR="00B7214B" w:rsidRPr="00267A39" w:rsidRDefault="00B7214B" w:rsidP="003305AC">
      <w:pPr>
        <w:spacing w:after="120" w:line="264" w:lineRule="auto"/>
        <w:rPr>
          <w:rFonts w:cs="Times New Roman"/>
        </w:rPr>
      </w:pPr>
      <w:r w:rsidRPr="00267A39">
        <w:rPr>
          <w:rFonts w:cs="Times New Roman"/>
        </w:rPr>
        <w:t xml:space="preserve">The </w:t>
      </w:r>
      <w:r w:rsidR="00C35DB9" w:rsidRPr="00267A39">
        <w:rPr>
          <w:rFonts w:cs="Times New Roman"/>
        </w:rPr>
        <w:t>Audit and Compliance C</w:t>
      </w:r>
      <w:r w:rsidRPr="00267A39">
        <w:rPr>
          <w:rFonts w:cs="Times New Roman"/>
        </w:rPr>
        <w:t xml:space="preserve">ommittee shall meet </w:t>
      </w:r>
      <w:r w:rsidR="00267A39">
        <w:rPr>
          <w:rFonts w:cs="Times New Roman"/>
        </w:rPr>
        <w:t xml:space="preserve">no less than </w:t>
      </w:r>
      <w:r w:rsidRPr="00267A39">
        <w:rPr>
          <w:rFonts w:cs="Times New Roman"/>
        </w:rPr>
        <w:t>[insert requirements for meeting frequency]</w:t>
      </w:r>
      <w:r w:rsidR="00C35DB9" w:rsidRPr="00267A39">
        <w:rPr>
          <w:rFonts w:cs="Times New Roman"/>
        </w:rPr>
        <w:t xml:space="preserve"> and more frequently as circumstances dictate</w:t>
      </w:r>
      <w:r w:rsidR="00267A39">
        <w:rPr>
          <w:rFonts w:cs="Times New Roman"/>
        </w:rPr>
        <w:t xml:space="preserve"> to be necessary and appropriate</w:t>
      </w:r>
      <w:r w:rsidR="00C35DB9" w:rsidRPr="00267A39">
        <w:rPr>
          <w:rFonts w:cs="Times New Roman"/>
        </w:rPr>
        <w:t>.  The committee shall also meet periodi</w:t>
      </w:r>
      <w:r w:rsidR="008E1F36" w:rsidRPr="00267A39">
        <w:rPr>
          <w:rFonts w:cs="Times New Roman"/>
        </w:rPr>
        <w:t>cally with independent auditors</w:t>
      </w:r>
      <w:r w:rsidR="00267A39">
        <w:rPr>
          <w:rFonts w:cs="Times New Roman"/>
        </w:rPr>
        <w:t>.</w:t>
      </w:r>
    </w:p>
    <w:p w14:paraId="48A39FD3" w14:textId="77777777" w:rsidR="00B7214B" w:rsidRDefault="00267A39" w:rsidP="003305AC">
      <w:pPr>
        <w:spacing w:after="120" w:line="264" w:lineRule="auto"/>
        <w:rPr>
          <w:rFonts w:cs="Times New Roman"/>
        </w:rPr>
      </w:pPr>
      <w:r w:rsidRPr="00267A39">
        <w:rPr>
          <w:rFonts w:cs="Times New Roman"/>
        </w:rPr>
        <w:t>Meeting attendance shall include in</w:t>
      </w:r>
      <w:r>
        <w:rPr>
          <w:rFonts w:cs="Times New Roman"/>
        </w:rPr>
        <w:t>-</w:t>
      </w:r>
      <w:r w:rsidRPr="00267A39">
        <w:rPr>
          <w:rFonts w:cs="Times New Roman"/>
        </w:rPr>
        <w:t>person presence, teleconference, videoconference or other electronic presence</w:t>
      </w:r>
      <w:r>
        <w:rPr>
          <w:rFonts w:cs="Times New Roman"/>
        </w:rPr>
        <w:t xml:space="preserve">.  </w:t>
      </w:r>
      <w:r w:rsidR="00B7214B" w:rsidRPr="00267A39">
        <w:rPr>
          <w:rFonts w:cs="Times New Roman"/>
        </w:rPr>
        <w:t xml:space="preserve">The quorum for </w:t>
      </w:r>
      <w:r w:rsidR="00C35DB9" w:rsidRPr="00267A39">
        <w:rPr>
          <w:rFonts w:cs="Times New Roman"/>
        </w:rPr>
        <w:t xml:space="preserve">Audit and Compliance </w:t>
      </w:r>
      <w:r w:rsidR="00B7214B" w:rsidRPr="00267A39">
        <w:rPr>
          <w:rFonts w:cs="Times New Roman"/>
        </w:rPr>
        <w:t>Committee meetings shall</w:t>
      </w:r>
      <w:r w:rsidR="008E1F36" w:rsidRPr="00267A39">
        <w:rPr>
          <w:rFonts w:cs="Times New Roman"/>
        </w:rPr>
        <w:t xml:space="preserve"> be [insert quorum requirement]</w:t>
      </w:r>
      <w:r>
        <w:rPr>
          <w:rFonts w:cs="Times New Roman"/>
        </w:rPr>
        <w:t xml:space="preserve">.  </w:t>
      </w:r>
      <w:r w:rsidR="00B7214B">
        <w:rPr>
          <w:rFonts w:cs="Times New Roman"/>
        </w:rPr>
        <w:t>Committee action</w:t>
      </w:r>
      <w:r w:rsidR="00C35DB9">
        <w:rPr>
          <w:rFonts w:cs="Times New Roman"/>
        </w:rPr>
        <w:t xml:space="preserve"> shall require</w:t>
      </w:r>
      <w:r w:rsidR="00B7214B">
        <w:rPr>
          <w:rFonts w:cs="Times New Roman"/>
        </w:rPr>
        <w:t xml:space="preserve"> a m</w:t>
      </w:r>
      <w:r w:rsidR="008E1F36">
        <w:rPr>
          <w:rFonts w:cs="Times New Roman"/>
        </w:rPr>
        <w:t>ajority vote of members present</w:t>
      </w:r>
      <w:r w:rsidR="00211FCD">
        <w:rPr>
          <w:rFonts w:cs="Times New Roman"/>
        </w:rPr>
        <w:t>.</w:t>
      </w:r>
    </w:p>
    <w:p w14:paraId="48374AC7" w14:textId="77777777" w:rsidR="00C35DB9" w:rsidRDefault="00C35DB9" w:rsidP="003305AC">
      <w:pPr>
        <w:pStyle w:val="ListParagraph"/>
        <w:spacing w:after="120" w:line="264" w:lineRule="auto"/>
        <w:contextualSpacing w:val="0"/>
        <w:rPr>
          <w:rFonts w:cs="Times New Roman"/>
        </w:rPr>
      </w:pPr>
    </w:p>
    <w:p w14:paraId="0C3C8811" w14:textId="77777777" w:rsidR="00011751" w:rsidRPr="008D17F2" w:rsidRDefault="00011751" w:rsidP="003305AC">
      <w:pPr>
        <w:spacing w:after="120" w:line="264" w:lineRule="auto"/>
        <w:rPr>
          <w:rFonts w:cs="Times New Roman"/>
          <w:b/>
          <w:sz w:val="28"/>
        </w:rPr>
      </w:pPr>
      <w:r w:rsidRPr="008D17F2">
        <w:rPr>
          <w:rFonts w:cs="Times New Roman"/>
          <w:b/>
          <w:sz w:val="28"/>
        </w:rPr>
        <w:t>Responsibilities</w:t>
      </w:r>
    </w:p>
    <w:p w14:paraId="093CAA81" w14:textId="77777777" w:rsidR="00EC0E52" w:rsidRPr="00EC0E52" w:rsidRDefault="00EC0E52" w:rsidP="003305AC">
      <w:pPr>
        <w:spacing w:after="120" w:line="264" w:lineRule="auto"/>
        <w:rPr>
          <w:rFonts w:cs="Times New Roman"/>
        </w:rPr>
      </w:pPr>
      <w:r w:rsidRPr="00EC0E52">
        <w:rPr>
          <w:rFonts w:cs="Times New Roman"/>
        </w:rPr>
        <w:t>The Audit and Compliance Committee shall be accountable to carry out the following responsibilities:</w:t>
      </w:r>
    </w:p>
    <w:p w14:paraId="7765BE6C" w14:textId="77777777" w:rsidR="003305AC" w:rsidRDefault="003305AC">
      <w:pPr>
        <w:rPr>
          <w:rFonts w:cs="Times New Roman"/>
          <w:b/>
          <w:i/>
        </w:rPr>
      </w:pPr>
      <w:r>
        <w:rPr>
          <w:rFonts w:cs="Times New Roman"/>
          <w:b/>
          <w:i/>
        </w:rPr>
        <w:br w:type="page"/>
      </w:r>
    </w:p>
    <w:p w14:paraId="154731D8" w14:textId="77777777" w:rsidR="00822F50" w:rsidRDefault="00E2004B" w:rsidP="00974E41">
      <w:pPr>
        <w:spacing w:after="120" w:line="264" w:lineRule="auto"/>
        <w:ind w:left="360"/>
        <w:rPr>
          <w:rFonts w:cs="Times New Roman"/>
          <w:b/>
          <w:i/>
        </w:rPr>
      </w:pPr>
      <w:r>
        <w:rPr>
          <w:rFonts w:cs="Times New Roman"/>
          <w:b/>
          <w:i/>
        </w:rPr>
        <w:lastRenderedPageBreak/>
        <w:t>Engagement of I</w:t>
      </w:r>
      <w:r w:rsidR="00DD6883" w:rsidRPr="00DD6883">
        <w:rPr>
          <w:rFonts w:cs="Times New Roman"/>
          <w:b/>
          <w:i/>
        </w:rPr>
        <w:t xml:space="preserve">ndependent </w:t>
      </w:r>
      <w:r>
        <w:rPr>
          <w:rFonts w:cs="Times New Roman"/>
          <w:b/>
          <w:i/>
        </w:rPr>
        <w:t>A</w:t>
      </w:r>
      <w:r w:rsidR="00DD6883" w:rsidRPr="00DD6883">
        <w:rPr>
          <w:rFonts w:cs="Times New Roman"/>
          <w:b/>
          <w:i/>
        </w:rPr>
        <w:t>uditor</w:t>
      </w:r>
    </w:p>
    <w:p w14:paraId="674FE1A4" w14:textId="77777777" w:rsidR="00822F50" w:rsidRPr="00EC0E52" w:rsidRDefault="00EC0E52" w:rsidP="00974E41">
      <w:pPr>
        <w:pStyle w:val="ListParagraph"/>
        <w:numPr>
          <w:ilvl w:val="0"/>
          <w:numId w:val="24"/>
        </w:numPr>
        <w:spacing w:after="120" w:line="264" w:lineRule="auto"/>
        <w:ind w:left="1080"/>
        <w:contextualSpacing w:val="0"/>
        <w:rPr>
          <w:rFonts w:cs="Times New Roman"/>
        </w:rPr>
      </w:pPr>
      <w:r>
        <w:rPr>
          <w:rFonts w:cs="Times New Roman"/>
        </w:rPr>
        <w:t>A</w:t>
      </w:r>
      <w:r w:rsidR="00822F50" w:rsidRPr="00EC0E52">
        <w:rPr>
          <w:rFonts w:cs="Times New Roman"/>
        </w:rPr>
        <w:t>nnually select</w:t>
      </w:r>
      <w:r>
        <w:rPr>
          <w:rFonts w:cs="Times New Roman"/>
        </w:rPr>
        <w:t>s</w:t>
      </w:r>
      <w:r w:rsidR="00822F50" w:rsidRPr="00EC0E52">
        <w:rPr>
          <w:rFonts w:cs="Times New Roman"/>
        </w:rPr>
        <w:t xml:space="preserve"> and </w:t>
      </w:r>
      <w:r w:rsidR="007349C7">
        <w:rPr>
          <w:rFonts w:cs="Times New Roman"/>
        </w:rPr>
        <w:t>approves</w:t>
      </w:r>
      <w:r w:rsidR="00822F50" w:rsidRPr="00EC0E52">
        <w:rPr>
          <w:rFonts w:cs="Times New Roman"/>
        </w:rPr>
        <w:t xml:space="preserve"> the compensation and other terms of engagement for</w:t>
      </w:r>
      <w:r w:rsidR="007349C7">
        <w:rPr>
          <w:rFonts w:cs="Times New Roman"/>
        </w:rPr>
        <w:t xml:space="preserve"> an independent auditor</w:t>
      </w:r>
    </w:p>
    <w:p w14:paraId="7E9036ED" w14:textId="77777777" w:rsidR="00822F50" w:rsidRPr="00E16C8E" w:rsidRDefault="00822F50" w:rsidP="00974E41">
      <w:pPr>
        <w:pStyle w:val="ListParagraph"/>
        <w:numPr>
          <w:ilvl w:val="0"/>
          <w:numId w:val="24"/>
        </w:numPr>
        <w:spacing w:after="120" w:line="264" w:lineRule="auto"/>
        <w:ind w:left="1080"/>
        <w:contextualSpacing w:val="0"/>
        <w:rPr>
          <w:rFonts w:cs="Times New Roman"/>
        </w:rPr>
      </w:pPr>
      <w:r w:rsidRPr="00E16C8E">
        <w:rPr>
          <w:rFonts w:cs="Times New Roman"/>
        </w:rPr>
        <w:t>Ensure</w:t>
      </w:r>
      <w:r w:rsidR="007349C7">
        <w:rPr>
          <w:rFonts w:cs="Times New Roman"/>
        </w:rPr>
        <w:t>s</w:t>
      </w:r>
      <w:r w:rsidRPr="00E16C8E">
        <w:rPr>
          <w:rFonts w:cs="Times New Roman"/>
        </w:rPr>
        <w:t xml:space="preserve"> the receipt of written disclosures and letter from the independent auditors regarding </w:t>
      </w:r>
      <w:r>
        <w:rPr>
          <w:rFonts w:cs="Times New Roman"/>
        </w:rPr>
        <w:t xml:space="preserve">the </w:t>
      </w:r>
      <w:r w:rsidRPr="00E16C8E">
        <w:rPr>
          <w:rFonts w:cs="Times New Roman"/>
        </w:rPr>
        <w:t>auditors' independence</w:t>
      </w:r>
    </w:p>
    <w:p w14:paraId="7D9826F1" w14:textId="77777777" w:rsidR="00822F50" w:rsidRDefault="00822F50" w:rsidP="00974E41">
      <w:pPr>
        <w:pStyle w:val="ListParagraph"/>
        <w:numPr>
          <w:ilvl w:val="0"/>
          <w:numId w:val="24"/>
        </w:numPr>
        <w:spacing w:after="120" w:line="264" w:lineRule="auto"/>
        <w:ind w:left="1080"/>
        <w:contextualSpacing w:val="0"/>
        <w:rPr>
          <w:rFonts w:cs="Times New Roman"/>
        </w:rPr>
      </w:pPr>
      <w:r w:rsidRPr="00733794">
        <w:rPr>
          <w:rFonts w:cs="Times New Roman"/>
        </w:rPr>
        <w:t>Consider</w:t>
      </w:r>
      <w:r w:rsidR="007349C7">
        <w:rPr>
          <w:rFonts w:cs="Times New Roman"/>
        </w:rPr>
        <w:t>s</w:t>
      </w:r>
      <w:r w:rsidRPr="00733794">
        <w:rPr>
          <w:rFonts w:cs="Times New Roman"/>
        </w:rPr>
        <w:t xml:space="preserve"> rotation of</w:t>
      </w:r>
      <w:r w:rsidR="007349C7">
        <w:rPr>
          <w:rFonts w:cs="Times New Roman"/>
        </w:rPr>
        <w:t xml:space="preserve"> the</w:t>
      </w:r>
      <w:r w:rsidRPr="00733794">
        <w:rPr>
          <w:rFonts w:cs="Times New Roman"/>
        </w:rPr>
        <w:t xml:space="preserve"> </w:t>
      </w:r>
      <w:r w:rsidR="007349C7">
        <w:rPr>
          <w:rFonts w:cs="Times New Roman"/>
        </w:rPr>
        <w:t>independent audit firm</w:t>
      </w:r>
      <w:r>
        <w:rPr>
          <w:rFonts w:cs="Times New Roman"/>
        </w:rPr>
        <w:t xml:space="preserve"> </w:t>
      </w:r>
      <w:r w:rsidRPr="00733794">
        <w:rPr>
          <w:rFonts w:cs="Times New Roman"/>
        </w:rPr>
        <w:t>at least every five years</w:t>
      </w:r>
    </w:p>
    <w:p w14:paraId="511AEDB3" w14:textId="77777777" w:rsidR="00EF1087" w:rsidRPr="007349C7" w:rsidRDefault="00EF1087" w:rsidP="00974E41">
      <w:pPr>
        <w:pStyle w:val="ListParagraph"/>
        <w:numPr>
          <w:ilvl w:val="0"/>
          <w:numId w:val="28"/>
        </w:numPr>
        <w:spacing w:after="120" w:line="264" w:lineRule="auto"/>
        <w:ind w:left="1080"/>
        <w:contextualSpacing w:val="0"/>
        <w:rPr>
          <w:rFonts w:cs="Times New Roman"/>
        </w:rPr>
      </w:pPr>
      <w:r>
        <w:rPr>
          <w:rFonts w:cs="Times New Roman"/>
        </w:rPr>
        <w:t>Approves</w:t>
      </w:r>
      <w:r w:rsidRPr="007349C7">
        <w:rPr>
          <w:rFonts w:cs="Times New Roman"/>
        </w:rPr>
        <w:t xml:space="preserve"> </w:t>
      </w:r>
      <w:r>
        <w:rPr>
          <w:rFonts w:cs="Times New Roman"/>
        </w:rPr>
        <w:t>any</w:t>
      </w:r>
      <w:r w:rsidRPr="007349C7">
        <w:rPr>
          <w:rFonts w:cs="Times New Roman"/>
        </w:rPr>
        <w:t xml:space="preserve"> non-audit services </w:t>
      </w:r>
      <w:r>
        <w:rPr>
          <w:rFonts w:cs="Times New Roman"/>
        </w:rPr>
        <w:t xml:space="preserve">proposed </w:t>
      </w:r>
      <w:r w:rsidRPr="007349C7">
        <w:rPr>
          <w:rFonts w:cs="Times New Roman"/>
        </w:rPr>
        <w:t xml:space="preserve">by </w:t>
      </w:r>
      <w:r>
        <w:rPr>
          <w:rFonts w:cs="Times New Roman"/>
        </w:rPr>
        <w:t xml:space="preserve">the </w:t>
      </w:r>
      <w:r w:rsidRPr="007349C7">
        <w:rPr>
          <w:rFonts w:cs="Times New Roman"/>
        </w:rPr>
        <w:t>independent auditor</w:t>
      </w:r>
      <w:r>
        <w:rPr>
          <w:rFonts w:cs="Times New Roman"/>
        </w:rPr>
        <w:t xml:space="preserve">, ensuring such services are </w:t>
      </w:r>
      <w:r w:rsidRPr="007349C7">
        <w:rPr>
          <w:rFonts w:cs="Times New Roman"/>
        </w:rPr>
        <w:t xml:space="preserve">compatible with the auditors' </w:t>
      </w:r>
      <w:r>
        <w:rPr>
          <w:rFonts w:cs="Times New Roman"/>
        </w:rPr>
        <w:t xml:space="preserve">continued </w:t>
      </w:r>
      <w:r w:rsidRPr="007349C7">
        <w:rPr>
          <w:rFonts w:cs="Times New Roman"/>
        </w:rPr>
        <w:t>independence</w:t>
      </w:r>
    </w:p>
    <w:p w14:paraId="111DD980" w14:textId="77777777" w:rsidR="00DD6883" w:rsidRPr="00DD6883" w:rsidRDefault="00DD6883" w:rsidP="00974E41">
      <w:pPr>
        <w:spacing w:after="120" w:line="264" w:lineRule="auto"/>
        <w:ind w:left="360"/>
        <w:rPr>
          <w:rFonts w:cs="Times New Roman"/>
          <w:b/>
          <w:i/>
        </w:rPr>
      </w:pPr>
    </w:p>
    <w:p w14:paraId="412DC570" w14:textId="77777777" w:rsidR="00DD6883" w:rsidRDefault="00E2004B" w:rsidP="00974E41">
      <w:pPr>
        <w:spacing w:after="120" w:line="264" w:lineRule="auto"/>
        <w:ind w:left="360"/>
        <w:rPr>
          <w:rFonts w:cs="Times New Roman"/>
          <w:b/>
          <w:i/>
        </w:rPr>
      </w:pPr>
      <w:r>
        <w:rPr>
          <w:rFonts w:cs="Times New Roman"/>
          <w:b/>
          <w:i/>
        </w:rPr>
        <w:t>Independent Financial A</w:t>
      </w:r>
      <w:r w:rsidR="00DD6883">
        <w:rPr>
          <w:rFonts w:cs="Times New Roman"/>
          <w:b/>
          <w:i/>
        </w:rPr>
        <w:t>udits</w:t>
      </w:r>
    </w:p>
    <w:p w14:paraId="13FC2D89" w14:textId="77777777" w:rsidR="00DD6883" w:rsidRPr="00CE2B15" w:rsidRDefault="00C524E3" w:rsidP="00974E41">
      <w:pPr>
        <w:pStyle w:val="ListParagraph"/>
        <w:numPr>
          <w:ilvl w:val="0"/>
          <w:numId w:val="36"/>
        </w:numPr>
        <w:spacing w:after="120" w:line="264" w:lineRule="auto"/>
        <w:ind w:left="1080"/>
        <w:rPr>
          <w:rFonts w:cs="Times New Roman"/>
          <w:b/>
        </w:rPr>
      </w:pPr>
      <w:r w:rsidRPr="00CE2B15">
        <w:rPr>
          <w:rFonts w:cs="Times New Roman"/>
          <w:b/>
        </w:rPr>
        <w:t>A</w:t>
      </w:r>
      <w:r w:rsidR="00DD6883" w:rsidRPr="00CE2B15">
        <w:rPr>
          <w:rFonts w:cs="Times New Roman"/>
          <w:b/>
        </w:rPr>
        <w:t xml:space="preserve">udit </w:t>
      </w:r>
      <w:r w:rsidRPr="00CE2B15">
        <w:rPr>
          <w:rFonts w:cs="Times New Roman"/>
          <w:b/>
        </w:rPr>
        <w:t>Conduct</w:t>
      </w:r>
    </w:p>
    <w:p w14:paraId="4C6B9E0F" w14:textId="77777777" w:rsidR="00C524E3" w:rsidRDefault="00C524E3" w:rsidP="00974E41">
      <w:pPr>
        <w:pStyle w:val="ListParagraph"/>
        <w:numPr>
          <w:ilvl w:val="0"/>
          <w:numId w:val="37"/>
        </w:numPr>
        <w:spacing w:after="120" w:line="264" w:lineRule="auto"/>
        <w:ind w:left="1800"/>
        <w:contextualSpacing w:val="0"/>
        <w:rPr>
          <w:rFonts w:cs="Times New Roman"/>
        </w:rPr>
      </w:pPr>
      <w:r>
        <w:rPr>
          <w:rFonts w:cs="Times New Roman"/>
        </w:rPr>
        <w:t>Reviews and approves scope and plan</w:t>
      </w:r>
      <w:r w:rsidR="00270AB6">
        <w:rPr>
          <w:rFonts w:cs="Times New Roman"/>
        </w:rPr>
        <w:t>s</w:t>
      </w:r>
      <w:r>
        <w:rPr>
          <w:rFonts w:cs="Times New Roman"/>
        </w:rPr>
        <w:t xml:space="preserve"> for conduct of independent audits</w:t>
      </w:r>
    </w:p>
    <w:p w14:paraId="579B959E" w14:textId="77777777" w:rsidR="00A31612" w:rsidRDefault="00A31612" w:rsidP="00974E41">
      <w:pPr>
        <w:pStyle w:val="ListParagraph"/>
        <w:numPr>
          <w:ilvl w:val="0"/>
          <w:numId w:val="37"/>
        </w:numPr>
        <w:spacing w:after="120" w:line="264" w:lineRule="auto"/>
        <w:ind w:left="1800"/>
        <w:contextualSpacing w:val="0"/>
        <w:rPr>
          <w:rFonts w:cs="Times New Roman"/>
        </w:rPr>
      </w:pPr>
      <w:r>
        <w:rPr>
          <w:rFonts w:cs="Times New Roman"/>
        </w:rPr>
        <w:t>Oversees independent auditor performance</w:t>
      </w:r>
    </w:p>
    <w:p w14:paraId="06C7A505" w14:textId="77777777" w:rsidR="00C524E3" w:rsidRDefault="00C524E3" w:rsidP="00974E41">
      <w:pPr>
        <w:pStyle w:val="ListParagraph"/>
        <w:numPr>
          <w:ilvl w:val="0"/>
          <w:numId w:val="37"/>
        </w:numPr>
        <w:spacing w:after="120" w:line="264" w:lineRule="auto"/>
        <w:ind w:left="1800"/>
        <w:contextualSpacing w:val="0"/>
        <w:rPr>
          <w:rFonts w:cs="Times New Roman"/>
        </w:rPr>
      </w:pPr>
      <w:r>
        <w:rPr>
          <w:rFonts w:cs="Times New Roman"/>
        </w:rPr>
        <w:t xml:space="preserve">Oversees </w:t>
      </w:r>
      <w:r w:rsidR="00270AB6">
        <w:rPr>
          <w:rFonts w:cs="Times New Roman"/>
        </w:rPr>
        <w:t>audit conduct</w:t>
      </w:r>
      <w:r>
        <w:rPr>
          <w:rFonts w:cs="Times New Roman"/>
        </w:rPr>
        <w:t>, including coordination between independent auditors and internal audit</w:t>
      </w:r>
      <w:r w:rsidR="00A31612">
        <w:rPr>
          <w:rFonts w:cs="Times New Roman"/>
        </w:rPr>
        <w:t xml:space="preserve"> in executing audit plans</w:t>
      </w:r>
    </w:p>
    <w:p w14:paraId="34126365" w14:textId="77777777" w:rsidR="00C524E3" w:rsidRPr="003A0A06" w:rsidRDefault="00270AB6" w:rsidP="00974E41">
      <w:pPr>
        <w:pStyle w:val="ListParagraph"/>
        <w:numPr>
          <w:ilvl w:val="0"/>
          <w:numId w:val="37"/>
        </w:numPr>
        <w:spacing w:after="120" w:line="264" w:lineRule="auto"/>
        <w:ind w:left="1800"/>
        <w:contextualSpacing w:val="0"/>
        <w:rPr>
          <w:rFonts w:cs="Times New Roman"/>
        </w:rPr>
      </w:pPr>
      <w:r>
        <w:rPr>
          <w:rFonts w:cs="Times New Roman"/>
        </w:rPr>
        <w:t>Resolves</w:t>
      </w:r>
      <w:r w:rsidR="00C524E3" w:rsidRPr="003A0A06">
        <w:rPr>
          <w:rFonts w:cs="Times New Roman"/>
        </w:rPr>
        <w:t xml:space="preserve"> any difficulties </w:t>
      </w:r>
      <w:r w:rsidR="00A31612">
        <w:rPr>
          <w:rFonts w:cs="Times New Roman"/>
        </w:rPr>
        <w:t>an</w:t>
      </w:r>
      <w:r w:rsidR="00C524E3" w:rsidRPr="003A0A06">
        <w:rPr>
          <w:rFonts w:cs="Times New Roman"/>
        </w:rPr>
        <w:t xml:space="preserve"> </w:t>
      </w:r>
      <w:r w:rsidR="00C524E3">
        <w:rPr>
          <w:rFonts w:cs="Times New Roman"/>
        </w:rPr>
        <w:t xml:space="preserve">independent </w:t>
      </w:r>
      <w:r w:rsidR="00C524E3" w:rsidRPr="003A0A06">
        <w:rPr>
          <w:rFonts w:cs="Times New Roman"/>
        </w:rPr>
        <w:t>audit team encounter</w:t>
      </w:r>
      <w:r w:rsidR="00C524E3">
        <w:rPr>
          <w:rFonts w:cs="Times New Roman"/>
        </w:rPr>
        <w:t>s</w:t>
      </w:r>
      <w:r w:rsidR="00C524E3" w:rsidRPr="003A0A06">
        <w:rPr>
          <w:rFonts w:cs="Times New Roman"/>
        </w:rPr>
        <w:t xml:space="preserve"> during the course of audit work, such as restrictions on the scope of </w:t>
      </w:r>
      <w:r w:rsidR="00D31229">
        <w:rPr>
          <w:rFonts w:cs="Times New Roman"/>
        </w:rPr>
        <w:t>work</w:t>
      </w:r>
      <w:r w:rsidR="00C524E3" w:rsidRPr="003A0A06">
        <w:rPr>
          <w:rFonts w:cs="Times New Roman"/>
        </w:rPr>
        <w:t xml:space="preserve">, access to </w:t>
      </w:r>
      <w:r w:rsidR="00D31229">
        <w:rPr>
          <w:rFonts w:cs="Times New Roman"/>
        </w:rPr>
        <w:t>required</w:t>
      </w:r>
      <w:r w:rsidR="00C524E3" w:rsidRPr="003A0A06">
        <w:rPr>
          <w:rFonts w:cs="Times New Roman"/>
        </w:rPr>
        <w:t xml:space="preserve"> information, or significan</w:t>
      </w:r>
      <w:r w:rsidR="00C524E3">
        <w:rPr>
          <w:rFonts w:cs="Times New Roman"/>
        </w:rPr>
        <w:t>t disagreements with management</w:t>
      </w:r>
    </w:p>
    <w:p w14:paraId="407BE478" w14:textId="77777777" w:rsidR="00DD6883" w:rsidRPr="00CE2B15" w:rsidRDefault="00DD6883" w:rsidP="00974E41">
      <w:pPr>
        <w:pStyle w:val="ListParagraph"/>
        <w:numPr>
          <w:ilvl w:val="0"/>
          <w:numId w:val="36"/>
        </w:numPr>
        <w:spacing w:after="120" w:line="264" w:lineRule="auto"/>
        <w:ind w:left="1080"/>
        <w:rPr>
          <w:rFonts w:cs="Times New Roman"/>
          <w:b/>
        </w:rPr>
      </w:pPr>
      <w:r w:rsidRPr="00CE2B15">
        <w:rPr>
          <w:rFonts w:cs="Times New Roman"/>
          <w:b/>
        </w:rPr>
        <w:t xml:space="preserve">Audit </w:t>
      </w:r>
      <w:r w:rsidR="00E2004B">
        <w:rPr>
          <w:rFonts w:cs="Times New Roman"/>
          <w:b/>
        </w:rPr>
        <w:t>R</w:t>
      </w:r>
      <w:r w:rsidRPr="00CE2B15">
        <w:rPr>
          <w:rFonts w:cs="Times New Roman"/>
          <w:b/>
        </w:rPr>
        <w:t>eport</w:t>
      </w:r>
    </w:p>
    <w:p w14:paraId="6BF8B412" w14:textId="77777777" w:rsidR="009A6D3D" w:rsidRDefault="009A6D3D" w:rsidP="00974E41">
      <w:pPr>
        <w:pStyle w:val="ListParagraph"/>
        <w:numPr>
          <w:ilvl w:val="0"/>
          <w:numId w:val="31"/>
        </w:numPr>
        <w:spacing w:after="120" w:line="264" w:lineRule="auto"/>
        <w:ind w:left="1800"/>
        <w:contextualSpacing w:val="0"/>
        <w:rPr>
          <w:rFonts w:cs="Times New Roman"/>
        </w:rPr>
      </w:pPr>
      <w:r>
        <w:rPr>
          <w:rFonts w:cs="Times New Roman"/>
        </w:rPr>
        <w:t>R</w:t>
      </w:r>
      <w:r w:rsidRPr="003A0A06">
        <w:rPr>
          <w:rFonts w:cs="Times New Roman"/>
        </w:rPr>
        <w:t>eview</w:t>
      </w:r>
      <w:r>
        <w:rPr>
          <w:rFonts w:cs="Times New Roman"/>
        </w:rPr>
        <w:t>s</w:t>
      </w:r>
      <w:r w:rsidRPr="003A0A06">
        <w:rPr>
          <w:rFonts w:cs="Times New Roman"/>
        </w:rPr>
        <w:t xml:space="preserve"> </w:t>
      </w:r>
      <w:r>
        <w:rPr>
          <w:rFonts w:cs="Times New Roman"/>
        </w:rPr>
        <w:t>independent auditor’s report, e</w:t>
      </w:r>
      <w:r w:rsidRPr="003A0A06">
        <w:rPr>
          <w:rFonts w:cs="Times New Roman"/>
        </w:rPr>
        <w:t>nsur</w:t>
      </w:r>
      <w:r>
        <w:rPr>
          <w:rFonts w:cs="Times New Roman"/>
        </w:rPr>
        <w:t>ing</w:t>
      </w:r>
      <w:r w:rsidRPr="003A0A06">
        <w:rPr>
          <w:rFonts w:cs="Times New Roman"/>
        </w:rPr>
        <w:t xml:space="preserve"> that the report</w:t>
      </w:r>
      <w:r>
        <w:rPr>
          <w:rFonts w:cs="Times New Roman"/>
        </w:rPr>
        <w:t>:</w:t>
      </w:r>
    </w:p>
    <w:p w14:paraId="3F2106A2" w14:textId="77777777" w:rsidR="009A6D3D" w:rsidRPr="003A0A06" w:rsidRDefault="009A6D3D" w:rsidP="00974E41">
      <w:pPr>
        <w:pStyle w:val="ListParagraph"/>
        <w:numPr>
          <w:ilvl w:val="2"/>
          <w:numId w:val="38"/>
        </w:numPr>
        <w:spacing w:after="120" w:line="264" w:lineRule="auto"/>
        <w:ind w:left="2520"/>
        <w:contextualSpacing w:val="0"/>
        <w:rPr>
          <w:rFonts w:cs="Times New Roman"/>
        </w:rPr>
      </w:pPr>
      <w:r>
        <w:rPr>
          <w:rFonts w:cs="Times New Roman"/>
        </w:rPr>
        <w:t>R</w:t>
      </w:r>
      <w:r w:rsidRPr="003A0A06">
        <w:rPr>
          <w:rFonts w:cs="Times New Roman"/>
        </w:rPr>
        <w:t>eviews all accounting policies and</w:t>
      </w:r>
      <w:r>
        <w:rPr>
          <w:rFonts w:cs="Times New Roman"/>
        </w:rPr>
        <w:t xml:space="preserve"> practices used by the hospital</w:t>
      </w:r>
    </w:p>
    <w:p w14:paraId="7108447F" w14:textId="77777777" w:rsidR="009A6D3D" w:rsidRPr="003A0A06" w:rsidRDefault="009A6D3D" w:rsidP="00974E41">
      <w:pPr>
        <w:pStyle w:val="ListParagraph"/>
        <w:numPr>
          <w:ilvl w:val="2"/>
          <w:numId w:val="38"/>
        </w:numPr>
        <w:spacing w:after="120" w:line="264" w:lineRule="auto"/>
        <w:ind w:left="2520"/>
        <w:contextualSpacing w:val="0"/>
        <w:rPr>
          <w:rFonts w:cs="Times New Roman"/>
        </w:rPr>
      </w:pPr>
      <w:r>
        <w:rPr>
          <w:rFonts w:cs="Times New Roman"/>
        </w:rPr>
        <w:t>I</w:t>
      </w:r>
      <w:r w:rsidRPr="003A0A06">
        <w:rPr>
          <w:rFonts w:cs="Times New Roman"/>
        </w:rPr>
        <w:t>ncludes all alternative accounting treatments of financial information within generally accepted accounting principles (GAAP) related to material items that have been discussed with management, including the ramifications of the use of such alternative treatments and disclosures and the treatment p</w:t>
      </w:r>
      <w:r>
        <w:rPr>
          <w:rFonts w:cs="Times New Roman"/>
        </w:rPr>
        <w:t>referred by the accounting firm</w:t>
      </w:r>
    </w:p>
    <w:p w14:paraId="6538BF8F" w14:textId="77777777" w:rsidR="009A6D3D" w:rsidRDefault="009A6D3D" w:rsidP="00974E41">
      <w:pPr>
        <w:pStyle w:val="ListParagraph"/>
        <w:numPr>
          <w:ilvl w:val="2"/>
          <w:numId w:val="38"/>
        </w:numPr>
        <w:spacing w:after="120" w:line="264" w:lineRule="auto"/>
        <w:ind w:left="2520"/>
        <w:contextualSpacing w:val="0"/>
        <w:rPr>
          <w:rFonts w:cs="Times New Roman"/>
        </w:rPr>
      </w:pPr>
      <w:r>
        <w:rPr>
          <w:rFonts w:cs="Times New Roman"/>
        </w:rPr>
        <w:t>I</w:t>
      </w:r>
      <w:r w:rsidRPr="003A0A06">
        <w:rPr>
          <w:rFonts w:cs="Times New Roman"/>
        </w:rPr>
        <w:t>ncludes other material written communication between the accounting firm and management</w:t>
      </w:r>
    </w:p>
    <w:p w14:paraId="4D19C1DE" w14:textId="77777777" w:rsidR="004E50BD" w:rsidRPr="009A6D3D" w:rsidRDefault="00A3097D" w:rsidP="00974E41">
      <w:pPr>
        <w:pStyle w:val="ListParagraph"/>
        <w:numPr>
          <w:ilvl w:val="0"/>
          <w:numId w:val="31"/>
        </w:numPr>
        <w:spacing w:after="120" w:line="264" w:lineRule="auto"/>
        <w:ind w:left="1800"/>
        <w:contextualSpacing w:val="0"/>
        <w:rPr>
          <w:rFonts w:cs="Times New Roman"/>
        </w:rPr>
      </w:pPr>
      <w:r w:rsidRPr="009A6D3D">
        <w:rPr>
          <w:rFonts w:cs="Times New Roman"/>
        </w:rPr>
        <w:t>Reviews audit</w:t>
      </w:r>
      <w:r w:rsidR="00D31229" w:rsidRPr="009A6D3D">
        <w:rPr>
          <w:rFonts w:cs="Times New Roman"/>
        </w:rPr>
        <w:t xml:space="preserve"> </w:t>
      </w:r>
      <w:r w:rsidR="009A6D3D">
        <w:rPr>
          <w:rFonts w:cs="Times New Roman"/>
        </w:rPr>
        <w:t>findings</w:t>
      </w:r>
      <w:r w:rsidR="00D31229" w:rsidRPr="009A6D3D">
        <w:rPr>
          <w:rFonts w:cs="Times New Roman"/>
        </w:rPr>
        <w:t>, including significant audit adjustments, any "management" or "</w:t>
      </w:r>
      <w:r w:rsidR="009A6D3D" w:rsidRPr="009A6D3D">
        <w:rPr>
          <w:rFonts w:cs="Times New Roman"/>
        </w:rPr>
        <w:t>internal control" letter issued</w:t>
      </w:r>
      <w:r w:rsidR="00D31229" w:rsidRPr="009A6D3D">
        <w:rPr>
          <w:rFonts w:cs="Times New Roman"/>
        </w:rPr>
        <w:t xml:space="preserve"> or proposed to be issued by the audit firm to the hospital, accounting adjustments that are noted or proposed by the audit team, but were "passed"</w:t>
      </w:r>
      <w:r w:rsidR="009A6D3D" w:rsidRPr="009A6D3D">
        <w:rPr>
          <w:rFonts w:cs="Times New Roman"/>
        </w:rPr>
        <w:t xml:space="preserve">, and </w:t>
      </w:r>
      <w:r w:rsidR="004E50BD" w:rsidRPr="009A6D3D">
        <w:rPr>
          <w:rFonts w:cs="Times New Roman"/>
        </w:rPr>
        <w:t xml:space="preserve">any material financial or non-financial arrangements of the hospital which do not appear on the financial statements of the hospital </w:t>
      </w:r>
    </w:p>
    <w:p w14:paraId="702F3138" w14:textId="77777777" w:rsidR="00CE2B15" w:rsidRDefault="00A3097D" w:rsidP="00974E41">
      <w:pPr>
        <w:pStyle w:val="ListParagraph"/>
        <w:numPr>
          <w:ilvl w:val="0"/>
          <w:numId w:val="31"/>
        </w:numPr>
        <w:spacing w:after="120" w:line="264" w:lineRule="auto"/>
        <w:ind w:left="1800"/>
        <w:contextualSpacing w:val="0"/>
        <w:rPr>
          <w:rFonts w:cs="Times New Roman"/>
        </w:rPr>
      </w:pPr>
      <w:r w:rsidRPr="00CE2B15">
        <w:rPr>
          <w:rFonts w:cs="Times New Roman"/>
        </w:rPr>
        <w:t>Consults with the independent auditor in executive session about accounting policies and practices, internal controls, audit findings, financial statements and other issues to ensure the integrity of the hospital’s financial matters</w:t>
      </w:r>
    </w:p>
    <w:p w14:paraId="5D802DCC" w14:textId="77777777" w:rsidR="00CE2B15" w:rsidRDefault="009A6D3D" w:rsidP="00974E41">
      <w:pPr>
        <w:pStyle w:val="ListParagraph"/>
        <w:numPr>
          <w:ilvl w:val="0"/>
          <w:numId w:val="40"/>
        </w:numPr>
        <w:spacing w:after="120" w:line="264" w:lineRule="auto"/>
        <w:ind w:left="1800"/>
        <w:contextualSpacing w:val="0"/>
        <w:rPr>
          <w:rFonts w:cs="Times New Roman"/>
        </w:rPr>
      </w:pPr>
      <w:r w:rsidRPr="00CE2B15">
        <w:rPr>
          <w:rFonts w:cs="Times New Roman"/>
        </w:rPr>
        <w:lastRenderedPageBreak/>
        <w:t>Consults with independent auditor and management about significant risks or exposures, assesses steps to mitigate risks and monitors implementation and effectiveness of corrective steps</w:t>
      </w:r>
    </w:p>
    <w:p w14:paraId="1969E013" w14:textId="77777777" w:rsidR="003305AC" w:rsidRDefault="003305AC" w:rsidP="00974E41">
      <w:pPr>
        <w:pStyle w:val="ListParagraph"/>
        <w:numPr>
          <w:ilvl w:val="0"/>
          <w:numId w:val="40"/>
        </w:numPr>
        <w:spacing w:after="120" w:line="264" w:lineRule="auto"/>
        <w:ind w:left="1800"/>
        <w:contextualSpacing w:val="0"/>
        <w:rPr>
          <w:rFonts w:cs="Times New Roman"/>
        </w:rPr>
      </w:pPr>
      <w:r w:rsidRPr="00CE2B15">
        <w:rPr>
          <w:rFonts w:cs="Times New Roman"/>
        </w:rPr>
        <w:t>Makes recommendations regarding approval of audit report to the board</w:t>
      </w:r>
    </w:p>
    <w:p w14:paraId="0DC60123" w14:textId="77777777" w:rsidR="00B854A8" w:rsidRPr="00CE2B15" w:rsidRDefault="00B854A8" w:rsidP="00974E41">
      <w:pPr>
        <w:pStyle w:val="ListParagraph"/>
        <w:spacing w:after="120" w:line="264" w:lineRule="auto"/>
        <w:ind w:left="1800"/>
        <w:contextualSpacing w:val="0"/>
        <w:rPr>
          <w:rFonts w:cs="Times New Roman"/>
        </w:rPr>
      </w:pPr>
    </w:p>
    <w:p w14:paraId="00265317" w14:textId="77777777" w:rsidR="00EC0E52" w:rsidRDefault="00CE2B15" w:rsidP="00974E41">
      <w:pPr>
        <w:spacing w:after="120" w:line="264" w:lineRule="auto"/>
        <w:ind w:left="360"/>
        <w:rPr>
          <w:rFonts w:cs="Times New Roman"/>
          <w:b/>
          <w:i/>
        </w:rPr>
      </w:pPr>
      <w:r>
        <w:rPr>
          <w:rFonts w:cs="Times New Roman"/>
          <w:b/>
          <w:i/>
        </w:rPr>
        <w:t>F</w:t>
      </w:r>
      <w:r w:rsidR="00E2004B">
        <w:rPr>
          <w:rFonts w:cs="Times New Roman"/>
          <w:b/>
          <w:i/>
        </w:rPr>
        <w:t>inancial S</w:t>
      </w:r>
      <w:r w:rsidR="00EC0E52">
        <w:rPr>
          <w:rFonts w:cs="Times New Roman"/>
          <w:b/>
          <w:i/>
        </w:rPr>
        <w:t>tatements</w:t>
      </w:r>
    </w:p>
    <w:p w14:paraId="594E55BF" w14:textId="77777777" w:rsidR="00EC0E52" w:rsidRPr="005A56DC" w:rsidRDefault="00F137A4" w:rsidP="00974E41">
      <w:pPr>
        <w:pStyle w:val="ListParagraph"/>
        <w:numPr>
          <w:ilvl w:val="0"/>
          <w:numId w:val="30"/>
        </w:numPr>
        <w:spacing w:after="120" w:line="264" w:lineRule="auto"/>
        <w:ind w:left="1080"/>
        <w:contextualSpacing w:val="0"/>
        <w:rPr>
          <w:rFonts w:cs="Times New Roman"/>
        </w:rPr>
      </w:pPr>
      <w:r>
        <w:rPr>
          <w:rFonts w:cs="Times New Roman"/>
        </w:rPr>
        <w:t>R</w:t>
      </w:r>
      <w:r w:rsidR="00EC0E52" w:rsidRPr="005A56DC">
        <w:rPr>
          <w:rFonts w:cs="Times New Roman"/>
        </w:rPr>
        <w:t>eview</w:t>
      </w:r>
      <w:r w:rsidR="00A31612">
        <w:rPr>
          <w:rFonts w:cs="Times New Roman"/>
        </w:rPr>
        <w:t>s</w:t>
      </w:r>
      <w:r w:rsidR="00EC0E52" w:rsidRPr="005A56DC">
        <w:rPr>
          <w:rFonts w:cs="Times New Roman"/>
        </w:rPr>
        <w:t xml:space="preserve"> report</w:t>
      </w:r>
      <w:r w:rsidR="00A31612">
        <w:rPr>
          <w:rFonts w:cs="Times New Roman"/>
        </w:rPr>
        <w:t>s</w:t>
      </w:r>
      <w:r w:rsidR="00EC0E52" w:rsidRPr="005A56DC">
        <w:rPr>
          <w:rFonts w:cs="Times New Roman"/>
        </w:rPr>
        <w:t xml:space="preserve"> </w:t>
      </w:r>
      <w:r w:rsidR="00A31612">
        <w:rPr>
          <w:rFonts w:cs="Times New Roman"/>
        </w:rPr>
        <w:t>regarding any</w:t>
      </w:r>
      <w:r w:rsidR="00EC0E52" w:rsidRPr="005A56DC">
        <w:rPr>
          <w:rFonts w:cs="Times New Roman"/>
        </w:rPr>
        <w:t xml:space="preserve"> unusual deviations from prior practice in the preparation of the annual financial results</w:t>
      </w:r>
    </w:p>
    <w:p w14:paraId="2D3C69AA" w14:textId="77777777" w:rsidR="00EC0E52" w:rsidRPr="005A56DC" w:rsidRDefault="00F137A4" w:rsidP="00974E41">
      <w:pPr>
        <w:pStyle w:val="ListParagraph"/>
        <w:numPr>
          <w:ilvl w:val="0"/>
          <w:numId w:val="30"/>
        </w:numPr>
        <w:spacing w:after="120" w:line="264" w:lineRule="auto"/>
        <w:ind w:left="1080"/>
        <w:contextualSpacing w:val="0"/>
        <w:rPr>
          <w:rFonts w:cs="Times New Roman"/>
        </w:rPr>
      </w:pPr>
      <w:r>
        <w:rPr>
          <w:rFonts w:cs="Times New Roman"/>
        </w:rPr>
        <w:t>R</w:t>
      </w:r>
      <w:r w:rsidR="00EC0E52" w:rsidRPr="005A56DC">
        <w:rPr>
          <w:rFonts w:cs="Times New Roman"/>
        </w:rPr>
        <w:t>esolve</w:t>
      </w:r>
      <w:r w:rsidR="00A31612">
        <w:rPr>
          <w:rFonts w:cs="Times New Roman"/>
        </w:rPr>
        <w:t>s</w:t>
      </w:r>
      <w:r w:rsidR="00EC0E52" w:rsidRPr="005A56DC">
        <w:rPr>
          <w:rFonts w:cs="Times New Roman"/>
        </w:rPr>
        <w:t xml:space="preserve"> disagreements </w:t>
      </w:r>
      <w:r w:rsidR="00A31612">
        <w:rPr>
          <w:rFonts w:cs="Times New Roman"/>
        </w:rPr>
        <w:t>between</w:t>
      </w:r>
      <w:r w:rsidR="00EC0E52" w:rsidRPr="005A56DC">
        <w:rPr>
          <w:rFonts w:cs="Times New Roman"/>
        </w:rPr>
        <w:t xml:space="preserve"> management and independent auditors in connection with the preparation of the annual audited financial statements</w:t>
      </w:r>
    </w:p>
    <w:p w14:paraId="01AE687E" w14:textId="77777777" w:rsidR="00DD6883" w:rsidRDefault="00DD6883" w:rsidP="00974E41">
      <w:pPr>
        <w:spacing w:after="120" w:line="264" w:lineRule="auto"/>
        <w:ind w:left="1080"/>
        <w:rPr>
          <w:rFonts w:cs="Times New Roman"/>
          <w:b/>
          <w:i/>
        </w:rPr>
      </w:pPr>
    </w:p>
    <w:p w14:paraId="1AEB5310" w14:textId="77777777" w:rsidR="00DD6883" w:rsidRDefault="00E2004B" w:rsidP="00974E41">
      <w:pPr>
        <w:spacing w:after="120" w:line="264" w:lineRule="auto"/>
        <w:ind w:left="360"/>
        <w:rPr>
          <w:rFonts w:cs="Times New Roman"/>
          <w:b/>
          <w:i/>
        </w:rPr>
      </w:pPr>
      <w:r>
        <w:rPr>
          <w:rFonts w:cs="Times New Roman"/>
          <w:b/>
          <w:i/>
        </w:rPr>
        <w:t>Internal C</w:t>
      </w:r>
      <w:r w:rsidR="00DD6883">
        <w:rPr>
          <w:rFonts w:cs="Times New Roman"/>
          <w:b/>
          <w:i/>
        </w:rPr>
        <w:t>ontrols</w:t>
      </w:r>
    </w:p>
    <w:p w14:paraId="50DE4383" w14:textId="77777777" w:rsidR="004E50BD" w:rsidRPr="00822F50" w:rsidRDefault="00270AB6" w:rsidP="00974E41">
      <w:pPr>
        <w:pStyle w:val="ListParagraph"/>
        <w:numPr>
          <w:ilvl w:val="0"/>
          <w:numId w:val="33"/>
        </w:numPr>
        <w:spacing w:after="120" w:line="264" w:lineRule="auto"/>
        <w:ind w:left="1080"/>
        <w:contextualSpacing w:val="0"/>
        <w:rPr>
          <w:rFonts w:cs="Times New Roman"/>
        </w:rPr>
      </w:pPr>
      <w:r>
        <w:rPr>
          <w:rFonts w:cs="Times New Roman"/>
        </w:rPr>
        <w:t>Oversees the adequacy, adoption and implementation of</w:t>
      </w:r>
      <w:r w:rsidR="004E50BD" w:rsidRPr="00822F50">
        <w:rPr>
          <w:rFonts w:cs="Times New Roman"/>
        </w:rPr>
        <w:t xml:space="preserve"> the hospital's internal </w:t>
      </w:r>
      <w:r w:rsidR="00A3097D">
        <w:rPr>
          <w:rFonts w:cs="Times New Roman"/>
        </w:rPr>
        <w:t xml:space="preserve">and disclosure </w:t>
      </w:r>
      <w:r w:rsidR="004E50BD" w:rsidRPr="00822F50">
        <w:rPr>
          <w:rFonts w:cs="Times New Roman"/>
        </w:rPr>
        <w:t>controls regarding finance, accounting</w:t>
      </w:r>
      <w:r>
        <w:rPr>
          <w:rFonts w:cs="Times New Roman"/>
        </w:rPr>
        <w:t>,</w:t>
      </w:r>
      <w:r w:rsidR="004E50BD" w:rsidRPr="00822F50">
        <w:rPr>
          <w:rFonts w:cs="Times New Roman"/>
        </w:rPr>
        <w:t xml:space="preserve"> legal </w:t>
      </w:r>
      <w:r>
        <w:rPr>
          <w:rFonts w:cs="Times New Roman"/>
        </w:rPr>
        <w:t xml:space="preserve">and regulatory </w:t>
      </w:r>
      <w:r w:rsidR="004E50BD" w:rsidRPr="00822F50">
        <w:rPr>
          <w:rFonts w:cs="Times New Roman"/>
        </w:rPr>
        <w:t xml:space="preserve">compliance </w:t>
      </w:r>
    </w:p>
    <w:p w14:paraId="79D0D9FE" w14:textId="77777777" w:rsidR="00F137A4" w:rsidRPr="00F137A4" w:rsidRDefault="00C2232E" w:rsidP="00974E41">
      <w:pPr>
        <w:pStyle w:val="ListParagraph"/>
        <w:numPr>
          <w:ilvl w:val="0"/>
          <w:numId w:val="25"/>
        </w:numPr>
        <w:spacing w:after="120" w:line="264" w:lineRule="auto"/>
        <w:ind w:left="1080"/>
        <w:contextualSpacing w:val="0"/>
        <w:rPr>
          <w:rFonts w:cs="Times New Roman"/>
        </w:rPr>
      </w:pPr>
      <w:r>
        <w:rPr>
          <w:rFonts w:cs="Times New Roman"/>
        </w:rPr>
        <w:t>Review</w:t>
      </w:r>
      <w:r w:rsidR="00A3097D">
        <w:rPr>
          <w:rFonts w:cs="Times New Roman"/>
        </w:rPr>
        <w:t>s</w:t>
      </w:r>
      <w:r>
        <w:rPr>
          <w:rFonts w:cs="Times New Roman"/>
        </w:rPr>
        <w:t xml:space="preserve"> </w:t>
      </w:r>
      <w:r w:rsidR="00F137A4" w:rsidRPr="00F137A4">
        <w:rPr>
          <w:rFonts w:cs="Times New Roman"/>
        </w:rPr>
        <w:t xml:space="preserve">the hospital's accounting policies and auditors' judgments of the quality and appropriateness of accounting policies and financial disclosure practices of the hospital </w:t>
      </w:r>
    </w:p>
    <w:p w14:paraId="5C47EA92" w14:textId="77777777" w:rsidR="00F137A4" w:rsidRPr="00F137A4" w:rsidRDefault="00A3097D" w:rsidP="00974E41">
      <w:pPr>
        <w:pStyle w:val="ListParagraph"/>
        <w:numPr>
          <w:ilvl w:val="0"/>
          <w:numId w:val="25"/>
        </w:numPr>
        <w:spacing w:after="120" w:line="264" w:lineRule="auto"/>
        <w:ind w:left="1080"/>
        <w:contextualSpacing w:val="0"/>
        <w:rPr>
          <w:rFonts w:cs="Times New Roman"/>
        </w:rPr>
      </w:pPr>
      <w:r>
        <w:rPr>
          <w:rFonts w:cs="Times New Roman"/>
        </w:rPr>
        <w:t>Resolves</w:t>
      </w:r>
      <w:r w:rsidR="00F137A4" w:rsidRPr="00F137A4">
        <w:rPr>
          <w:rFonts w:cs="Times New Roman"/>
        </w:rPr>
        <w:t xml:space="preserve"> any disagreements over the application of accounting principles </w:t>
      </w:r>
    </w:p>
    <w:p w14:paraId="4DFEC246" w14:textId="77777777" w:rsidR="00DD6883" w:rsidRDefault="00DD6883" w:rsidP="00974E41">
      <w:pPr>
        <w:spacing w:after="120" w:line="264" w:lineRule="auto"/>
        <w:ind w:left="360"/>
        <w:rPr>
          <w:rFonts w:cs="Times New Roman"/>
          <w:b/>
          <w:i/>
        </w:rPr>
      </w:pPr>
    </w:p>
    <w:p w14:paraId="416FCC19" w14:textId="77777777" w:rsidR="00822F50" w:rsidRDefault="00CE2B15" w:rsidP="00974E41">
      <w:pPr>
        <w:spacing w:after="120" w:line="264" w:lineRule="auto"/>
        <w:ind w:left="360"/>
        <w:rPr>
          <w:rFonts w:cs="Times New Roman"/>
          <w:b/>
          <w:i/>
        </w:rPr>
      </w:pPr>
      <w:r>
        <w:rPr>
          <w:rFonts w:cs="Times New Roman"/>
          <w:b/>
          <w:i/>
        </w:rPr>
        <w:t xml:space="preserve">Legal and </w:t>
      </w:r>
      <w:r w:rsidR="00E2004B">
        <w:rPr>
          <w:rFonts w:cs="Times New Roman"/>
          <w:b/>
          <w:i/>
        </w:rPr>
        <w:t>R</w:t>
      </w:r>
      <w:r>
        <w:rPr>
          <w:rFonts w:cs="Times New Roman"/>
          <w:b/>
          <w:i/>
        </w:rPr>
        <w:t>e</w:t>
      </w:r>
      <w:r w:rsidR="00E2004B">
        <w:rPr>
          <w:rFonts w:cs="Times New Roman"/>
          <w:b/>
          <w:i/>
        </w:rPr>
        <w:t>gulatory C</w:t>
      </w:r>
      <w:r>
        <w:rPr>
          <w:rFonts w:cs="Times New Roman"/>
          <w:b/>
          <w:i/>
        </w:rPr>
        <w:t xml:space="preserve">ompliance </w:t>
      </w:r>
    </w:p>
    <w:p w14:paraId="78F5BEA9" w14:textId="77777777" w:rsidR="00CE2B15" w:rsidRPr="003C17F5" w:rsidRDefault="00CE2B15" w:rsidP="00974E41">
      <w:pPr>
        <w:pStyle w:val="ListParagraph"/>
        <w:numPr>
          <w:ilvl w:val="0"/>
          <w:numId w:val="29"/>
        </w:numPr>
        <w:spacing w:after="120" w:line="264" w:lineRule="auto"/>
        <w:ind w:left="1080"/>
        <w:contextualSpacing w:val="0"/>
        <w:rPr>
          <w:rFonts w:cs="Times New Roman"/>
        </w:rPr>
      </w:pPr>
      <w:r>
        <w:rPr>
          <w:rFonts w:cs="Times New Roman"/>
        </w:rPr>
        <w:t>Approves</w:t>
      </w:r>
      <w:r w:rsidRPr="003C17F5">
        <w:rPr>
          <w:rFonts w:cs="Times New Roman"/>
        </w:rPr>
        <w:t xml:space="preserve"> adoption of a code of ethics </w:t>
      </w:r>
      <w:r>
        <w:rPr>
          <w:rFonts w:cs="Times New Roman"/>
        </w:rPr>
        <w:t xml:space="preserve">and monitors compliance by </w:t>
      </w:r>
      <w:r w:rsidRPr="003C17F5">
        <w:rPr>
          <w:rFonts w:cs="Times New Roman"/>
        </w:rPr>
        <w:t>board members, management and employees of the hospital</w:t>
      </w:r>
    </w:p>
    <w:p w14:paraId="06A04299" w14:textId="77777777" w:rsidR="005A56DC" w:rsidRPr="00D17A51" w:rsidRDefault="005D002E" w:rsidP="00974E41">
      <w:pPr>
        <w:pStyle w:val="ListParagraph"/>
        <w:numPr>
          <w:ilvl w:val="0"/>
          <w:numId w:val="29"/>
        </w:numPr>
        <w:spacing w:after="120" w:line="264" w:lineRule="auto"/>
        <w:ind w:left="1080"/>
        <w:contextualSpacing w:val="0"/>
        <w:rPr>
          <w:rFonts w:cs="Times New Roman"/>
        </w:rPr>
      </w:pPr>
      <w:r>
        <w:rPr>
          <w:rFonts w:cs="Times New Roman"/>
        </w:rPr>
        <w:t>Sets</w:t>
      </w:r>
      <w:r w:rsidR="005A56DC" w:rsidRPr="00D17A51">
        <w:rPr>
          <w:rFonts w:cs="Times New Roman"/>
        </w:rPr>
        <w:t xml:space="preserve"> policies and procedures </w:t>
      </w:r>
      <w:r>
        <w:rPr>
          <w:rFonts w:cs="Times New Roman"/>
        </w:rPr>
        <w:t>necessary</w:t>
      </w:r>
      <w:r w:rsidR="005A56DC" w:rsidRPr="00D17A51">
        <w:rPr>
          <w:rFonts w:cs="Times New Roman"/>
        </w:rPr>
        <w:t xml:space="preserve"> to ensure the hospital’s compliance with laws, regulations and standards of practice at all levels of the organization</w:t>
      </w:r>
    </w:p>
    <w:p w14:paraId="4D279BF5" w14:textId="77777777" w:rsidR="00946EEE" w:rsidRPr="003C17F5" w:rsidRDefault="00946EEE" w:rsidP="00974E41">
      <w:pPr>
        <w:pStyle w:val="ListParagraph"/>
        <w:numPr>
          <w:ilvl w:val="0"/>
          <w:numId w:val="27"/>
        </w:numPr>
        <w:spacing w:after="120" w:line="264" w:lineRule="auto"/>
        <w:ind w:left="1080"/>
        <w:contextualSpacing w:val="0"/>
        <w:rPr>
          <w:rFonts w:cs="Times New Roman"/>
        </w:rPr>
      </w:pPr>
      <w:r>
        <w:rPr>
          <w:rFonts w:cs="Times New Roman"/>
        </w:rPr>
        <w:t>Reviews the findings resulting from regulatory audits and examinations and monitors implementation of corrective action plans</w:t>
      </w:r>
    </w:p>
    <w:p w14:paraId="0396DE93" w14:textId="77777777" w:rsidR="00CE2B15" w:rsidRDefault="00CE2B15" w:rsidP="00974E41">
      <w:pPr>
        <w:pStyle w:val="ListParagraph"/>
        <w:numPr>
          <w:ilvl w:val="0"/>
          <w:numId w:val="27"/>
        </w:numPr>
        <w:spacing w:after="120" w:line="264" w:lineRule="auto"/>
        <w:ind w:left="1080"/>
        <w:contextualSpacing w:val="0"/>
        <w:rPr>
          <w:rFonts w:cs="Times New Roman"/>
        </w:rPr>
      </w:pPr>
      <w:r>
        <w:rPr>
          <w:rFonts w:cs="Times New Roman"/>
        </w:rPr>
        <w:t>E</w:t>
      </w:r>
      <w:r w:rsidRPr="003C17F5">
        <w:rPr>
          <w:rFonts w:cs="Times New Roman"/>
        </w:rPr>
        <w:t>nsure</w:t>
      </w:r>
      <w:r>
        <w:rPr>
          <w:rFonts w:cs="Times New Roman"/>
        </w:rPr>
        <w:t>s</w:t>
      </w:r>
      <w:r w:rsidRPr="003C17F5">
        <w:rPr>
          <w:rFonts w:cs="Times New Roman"/>
        </w:rPr>
        <w:t xml:space="preserve"> Board </w:t>
      </w:r>
      <w:r>
        <w:rPr>
          <w:rFonts w:cs="Times New Roman"/>
        </w:rPr>
        <w:t>education on ethical and complia</w:t>
      </w:r>
      <w:r w:rsidRPr="003C17F5">
        <w:rPr>
          <w:rFonts w:cs="Times New Roman"/>
        </w:rPr>
        <w:t>nce issues</w:t>
      </w:r>
    </w:p>
    <w:p w14:paraId="4DE55557" w14:textId="77777777" w:rsidR="00822F50" w:rsidRPr="003C17F5" w:rsidRDefault="005D002E" w:rsidP="00974E41">
      <w:pPr>
        <w:pStyle w:val="ListParagraph"/>
        <w:numPr>
          <w:ilvl w:val="0"/>
          <w:numId w:val="27"/>
        </w:numPr>
        <w:spacing w:after="120" w:line="264" w:lineRule="auto"/>
        <w:ind w:left="1080"/>
        <w:contextualSpacing w:val="0"/>
        <w:rPr>
          <w:rFonts w:cs="Times New Roman"/>
        </w:rPr>
      </w:pPr>
      <w:r>
        <w:rPr>
          <w:rFonts w:cs="Times New Roman"/>
        </w:rPr>
        <w:t>M</w:t>
      </w:r>
      <w:r w:rsidR="00822F50" w:rsidRPr="003C17F5">
        <w:rPr>
          <w:rFonts w:cs="Times New Roman"/>
        </w:rPr>
        <w:t>onitor</w:t>
      </w:r>
      <w:r>
        <w:rPr>
          <w:rFonts w:cs="Times New Roman"/>
        </w:rPr>
        <w:t>s</w:t>
      </w:r>
      <w:r w:rsidR="00822F50" w:rsidRPr="003C17F5">
        <w:rPr>
          <w:rFonts w:cs="Times New Roman"/>
        </w:rPr>
        <w:t xml:space="preserve"> and make</w:t>
      </w:r>
      <w:r>
        <w:rPr>
          <w:rFonts w:cs="Times New Roman"/>
        </w:rPr>
        <w:t>s</w:t>
      </w:r>
      <w:r w:rsidR="00822F50" w:rsidRPr="003C17F5">
        <w:rPr>
          <w:rFonts w:cs="Times New Roman"/>
        </w:rPr>
        <w:t xml:space="preserve"> recommendations to the board concerning programs to bolster the morale of the organization and instill in employees a feeling of pride in the hospital</w:t>
      </w:r>
    </w:p>
    <w:p w14:paraId="7207BD53" w14:textId="77777777" w:rsidR="00AF67DE" w:rsidRDefault="00AF67DE" w:rsidP="00974E41">
      <w:pPr>
        <w:spacing w:after="120" w:line="264" w:lineRule="auto"/>
        <w:ind w:left="360"/>
        <w:rPr>
          <w:rFonts w:cs="Times New Roman"/>
          <w:b/>
          <w:i/>
        </w:rPr>
      </w:pPr>
    </w:p>
    <w:p w14:paraId="2DF70760" w14:textId="77777777" w:rsidR="00AF67DE" w:rsidRDefault="00E2004B" w:rsidP="00974E41">
      <w:pPr>
        <w:spacing w:after="120" w:line="264" w:lineRule="auto"/>
        <w:ind w:left="360"/>
        <w:rPr>
          <w:rFonts w:cs="Times New Roman"/>
          <w:b/>
          <w:i/>
        </w:rPr>
      </w:pPr>
      <w:r>
        <w:rPr>
          <w:rFonts w:cs="Times New Roman"/>
          <w:b/>
          <w:i/>
        </w:rPr>
        <w:t>Risk M</w:t>
      </w:r>
      <w:r w:rsidR="00AF67DE">
        <w:rPr>
          <w:rFonts w:cs="Times New Roman"/>
          <w:b/>
          <w:i/>
        </w:rPr>
        <w:t>anagement</w:t>
      </w:r>
    </w:p>
    <w:p w14:paraId="78E2A8D7" w14:textId="77777777" w:rsidR="00A47BA2" w:rsidRPr="00282F67" w:rsidRDefault="00A47BA2" w:rsidP="00974E41">
      <w:pPr>
        <w:pStyle w:val="ListParagraph"/>
        <w:numPr>
          <w:ilvl w:val="0"/>
          <w:numId w:val="26"/>
        </w:numPr>
        <w:spacing w:after="120" w:line="264" w:lineRule="auto"/>
        <w:ind w:left="1080"/>
        <w:contextualSpacing w:val="0"/>
        <w:rPr>
          <w:rFonts w:cs="Times New Roman"/>
        </w:rPr>
      </w:pPr>
      <w:r>
        <w:rPr>
          <w:rFonts w:cs="Times New Roman"/>
        </w:rPr>
        <w:t>Monitors</w:t>
      </w:r>
      <w:r w:rsidRPr="00282F67">
        <w:rPr>
          <w:rFonts w:cs="Times New Roman"/>
        </w:rPr>
        <w:t xml:space="preserve"> the prevention, detection and resolution of actions that do not conf</w:t>
      </w:r>
      <w:r>
        <w:rPr>
          <w:rFonts w:cs="Times New Roman"/>
        </w:rPr>
        <w:t>o</w:t>
      </w:r>
      <w:r w:rsidRPr="00282F67">
        <w:rPr>
          <w:rFonts w:cs="Times New Roman"/>
        </w:rPr>
        <w:t>rm to lega</w:t>
      </w:r>
      <w:r>
        <w:rPr>
          <w:rFonts w:cs="Times New Roman"/>
        </w:rPr>
        <w:t>l, policy or business standards</w:t>
      </w:r>
    </w:p>
    <w:p w14:paraId="2A743E70" w14:textId="77777777" w:rsidR="00AF67DE" w:rsidRPr="00282F67" w:rsidRDefault="00356FEA" w:rsidP="00974E41">
      <w:pPr>
        <w:pStyle w:val="ListParagraph"/>
        <w:numPr>
          <w:ilvl w:val="0"/>
          <w:numId w:val="26"/>
        </w:numPr>
        <w:spacing w:after="120" w:line="264" w:lineRule="auto"/>
        <w:ind w:left="1080"/>
        <w:contextualSpacing w:val="0"/>
        <w:rPr>
          <w:rFonts w:cs="Times New Roman"/>
        </w:rPr>
      </w:pPr>
      <w:r>
        <w:rPr>
          <w:rFonts w:cs="Times New Roman"/>
        </w:rPr>
        <w:t>Sets</w:t>
      </w:r>
      <w:r w:rsidR="00AF67DE" w:rsidRPr="00282F67">
        <w:rPr>
          <w:rFonts w:cs="Times New Roman"/>
        </w:rPr>
        <w:t xml:space="preserve"> policies </w:t>
      </w:r>
      <w:r w:rsidR="00A47BA2">
        <w:rPr>
          <w:rFonts w:cs="Times New Roman"/>
        </w:rPr>
        <w:t xml:space="preserve">and procedures </w:t>
      </w:r>
      <w:r w:rsidR="00AF67DE" w:rsidRPr="00282F67">
        <w:rPr>
          <w:rFonts w:cs="Times New Roman"/>
        </w:rPr>
        <w:t>with respect to risk assessment and risk management, including significant financial risk and security breach exposures, and</w:t>
      </w:r>
      <w:r>
        <w:rPr>
          <w:rFonts w:cs="Times New Roman"/>
        </w:rPr>
        <w:t xml:space="preserve"> oversees</w:t>
      </w:r>
      <w:r w:rsidR="00AF67DE" w:rsidRPr="00282F67">
        <w:rPr>
          <w:rFonts w:cs="Times New Roman"/>
        </w:rPr>
        <w:t xml:space="preserve"> </w:t>
      </w:r>
      <w:r>
        <w:rPr>
          <w:rFonts w:cs="Times New Roman"/>
        </w:rPr>
        <w:t>actions</w:t>
      </w:r>
      <w:r w:rsidR="00AF67DE" w:rsidRPr="00282F67">
        <w:rPr>
          <w:rFonts w:cs="Times New Roman"/>
        </w:rPr>
        <w:t xml:space="preserve"> to monitor and control such exposure</w:t>
      </w:r>
    </w:p>
    <w:p w14:paraId="488C0BC1" w14:textId="77777777" w:rsidR="00A47BA2" w:rsidRPr="00282F67" w:rsidRDefault="00A47BA2" w:rsidP="00974E41">
      <w:pPr>
        <w:pStyle w:val="ListParagraph"/>
        <w:numPr>
          <w:ilvl w:val="0"/>
          <w:numId w:val="26"/>
        </w:numPr>
        <w:spacing w:after="120" w:line="264" w:lineRule="auto"/>
        <w:ind w:left="1080"/>
        <w:contextualSpacing w:val="0"/>
        <w:rPr>
          <w:rFonts w:cs="Times New Roman"/>
        </w:rPr>
      </w:pPr>
      <w:r>
        <w:rPr>
          <w:rFonts w:cs="Times New Roman"/>
        </w:rPr>
        <w:lastRenderedPageBreak/>
        <w:t>Set</w:t>
      </w:r>
      <w:r w:rsidR="005D002E">
        <w:rPr>
          <w:rFonts w:cs="Times New Roman"/>
        </w:rPr>
        <w:t>s</w:t>
      </w:r>
      <w:r w:rsidRPr="00282F67">
        <w:rPr>
          <w:rFonts w:cs="Times New Roman"/>
        </w:rPr>
        <w:t xml:space="preserve"> </w:t>
      </w:r>
      <w:r>
        <w:rPr>
          <w:rFonts w:cs="Times New Roman"/>
        </w:rPr>
        <w:t xml:space="preserve">policies and </w:t>
      </w:r>
      <w:r w:rsidRPr="00282F67">
        <w:rPr>
          <w:rFonts w:cs="Times New Roman"/>
        </w:rPr>
        <w:t>procedures for the confidential and anonymous submission by hospital employees of concerns regarding questionable accounting</w:t>
      </w:r>
      <w:r>
        <w:rPr>
          <w:rFonts w:cs="Times New Roman"/>
        </w:rPr>
        <w:t xml:space="preserve"> or</w:t>
      </w:r>
      <w:r w:rsidRPr="00282F67">
        <w:rPr>
          <w:rFonts w:cs="Times New Roman"/>
        </w:rPr>
        <w:t xml:space="preserve"> auditing</w:t>
      </w:r>
      <w:r>
        <w:rPr>
          <w:rFonts w:cs="Times New Roman"/>
        </w:rPr>
        <w:t xml:space="preserve"> practices</w:t>
      </w:r>
      <w:r w:rsidRPr="00282F67">
        <w:rPr>
          <w:rFonts w:cs="Times New Roman"/>
        </w:rPr>
        <w:t xml:space="preserve"> or other matters of legal and ethical compliance</w:t>
      </w:r>
      <w:r>
        <w:rPr>
          <w:rFonts w:cs="Times New Roman"/>
        </w:rPr>
        <w:t xml:space="preserve"> (whistleblower)</w:t>
      </w:r>
    </w:p>
    <w:p w14:paraId="3FABC660" w14:textId="77777777" w:rsidR="005D002E" w:rsidRDefault="005D002E" w:rsidP="00974E41">
      <w:pPr>
        <w:pStyle w:val="ListParagraph"/>
        <w:numPr>
          <w:ilvl w:val="0"/>
          <w:numId w:val="26"/>
        </w:numPr>
        <w:spacing w:after="120" w:line="264" w:lineRule="auto"/>
        <w:ind w:left="1080"/>
        <w:contextualSpacing w:val="0"/>
        <w:rPr>
          <w:rFonts w:cs="Times New Roman"/>
        </w:rPr>
      </w:pPr>
      <w:r>
        <w:rPr>
          <w:rFonts w:cs="Times New Roman"/>
        </w:rPr>
        <w:t>R</w:t>
      </w:r>
      <w:r w:rsidRPr="00282F67">
        <w:rPr>
          <w:rFonts w:cs="Times New Roman"/>
        </w:rPr>
        <w:t>eview</w:t>
      </w:r>
      <w:r>
        <w:rPr>
          <w:rFonts w:cs="Times New Roman"/>
        </w:rPr>
        <w:t>s</w:t>
      </w:r>
      <w:r w:rsidRPr="00282F67">
        <w:rPr>
          <w:rFonts w:cs="Times New Roman"/>
        </w:rPr>
        <w:t xml:space="preserve"> with management and legal counsel </w:t>
      </w:r>
      <w:r>
        <w:rPr>
          <w:rFonts w:cs="Times New Roman"/>
        </w:rPr>
        <w:t xml:space="preserve">any </w:t>
      </w:r>
      <w:r w:rsidRPr="00282F67">
        <w:rPr>
          <w:rFonts w:cs="Times New Roman"/>
        </w:rPr>
        <w:t xml:space="preserve">pending legal proceedings or investigations, compliance issues </w:t>
      </w:r>
      <w:r>
        <w:rPr>
          <w:rFonts w:cs="Times New Roman"/>
        </w:rPr>
        <w:t>or</w:t>
      </w:r>
      <w:r w:rsidRPr="00282F67">
        <w:rPr>
          <w:rFonts w:cs="Times New Roman"/>
        </w:rPr>
        <w:t xml:space="preserve"> other contingent liabilities that could have a significant impact on the hospital</w:t>
      </w:r>
      <w:r>
        <w:rPr>
          <w:rFonts w:cs="Times New Roman"/>
        </w:rPr>
        <w:t xml:space="preserve">, </w:t>
      </w:r>
      <w:r w:rsidRPr="00282F67">
        <w:rPr>
          <w:rFonts w:cs="Times New Roman"/>
        </w:rPr>
        <w:t>ensur</w:t>
      </w:r>
      <w:r>
        <w:rPr>
          <w:rFonts w:cs="Times New Roman"/>
        </w:rPr>
        <w:t>ing</w:t>
      </w:r>
      <w:r w:rsidRPr="00282F67">
        <w:rPr>
          <w:rFonts w:cs="Times New Roman"/>
        </w:rPr>
        <w:t xml:space="preserve"> development and implementation of effective corrective actions</w:t>
      </w:r>
    </w:p>
    <w:p w14:paraId="3BE633DB" w14:textId="77777777" w:rsidR="00B854A8" w:rsidRPr="00282F67" w:rsidRDefault="00B854A8" w:rsidP="00974E41">
      <w:pPr>
        <w:pStyle w:val="ListParagraph"/>
        <w:spacing w:after="120" w:line="264" w:lineRule="auto"/>
        <w:ind w:left="1080"/>
        <w:contextualSpacing w:val="0"/>
        <w:rPr>
          <w:rFonts w:cs="Times New Roman"/>
        </w:rPr>
      </w:pPr>
    </w:p>
    <w:p w14:paraId="09603061" w14:textId="77777777" w:rsidR="007768B7" w:rsidRPr="003E48B7" w:rsidRDefault="007768B7" w:rsidP="00974E41">
      <w:pPr>
        <w:spacing w:after="120" w:line="264" w:lineRule="auto"/>
        <w:ind w:left="360"/>
        <w:rPr>
          <w:rFonts w:cs="Times New Roman"/>
          <w:b/>
          <w:i/>
        </w:rPr>
      </w:pPr>
      <w:r w:rsidRPr="00282F67">
        <w:rPr>
          <w:rFonts w:cs="Times New Roman"/>
          <w:b/>
          <w:i/>
        </w:rPr>
        <w:t xml:space="preserve">Additional </w:t>
      </w:r>
      <w:r w:rsidR="00E2004B">
        <w:rPr>
          <w:rFonts w:cs="Times New Roman"/>
          <w:b/>
          <w:i/>
        </w:rPr>
        <w:t>R</w:t>
      </w:r>
      <w:r w:rsidRPr="00282F67">
        <w:rPr>
          <w:rFonts w:cs="Times New Roman"/>
          <w:b/>
          <w:i/>
        </w:rPr>
        <w:t>esponsibilities</w:t>
      </w:r>
      <w:r w:rsidRPr="003E48B7">
        <w:rPr>
          <w:rFonts w:cs="Times New Roman"/>
          <w:b/>
          <w:i/>
        </w:rPr>
        <w:t xml:space="preserve"> </w:t>
      </w:r>
    </w:p>
    <w:p w14:paraId="4A2CA838" w14:textId="77777777" w:rsidR="00282F67" w:rsidRDefault="00282F67" w:rsidP="00974E41">
      <w:pPr>
        <w:pStyle w:val="ListParagraph"/>
        <w:numPr>
          <w:ilvl w:val="0"/>
          <w:numId w:val="26"/>
        </w:numPr>
        <w:spacing w:after="120" w:line="264" w:lineRule="auto"/>
        <w:ind w:left="1080"/>
        <w:contextualSpacing w:val="0"/>
        <w:rPr>
          <w:rFonts w:cs="Times New Roman"/>
        </w:rPr>
      </w:pPr>
      <w:r>
        <w:rPr>
          <w:rFonts w:cs="Times New Roman"/>
        </w:rPr>
        <w:t>S</w:t>
      </w:r>
      <w:r w:rsidRPr="00282F67">
        <w:rPr>
          <w:rFonts w:cs="Times New Roman"/>
        </w:rPr>
        <w:t>et</w:t>
      </w:r>
      <w:r w:rsidR="00A47BA2">
        <w:rPr>
          <w:rFonts w:cs="Times New Roman"/>
        </w:rPr>
        <w:t>s</w:t>
      </w:r>
      <w:r w:rsidRPr="00282F67">
        <w:rPr>
          <w:rFonts w:cs="Times New Roman"/>
        </w:rPr>
        <w:t xml:space="preserve"> policies </w:t>
      </w:r>
      <w:r w:rsidR="008D6F5F">
        <w:rPr>
          <w:rFonts w:cs="Times New Roman"/>
        </w:rPr>
        <w:t xml:space="preserve">and </w:t>
      </w:r>
      <w:r w:rsidR="008D6F5F" w:rsidRPr="00282F67">
        <w:rPr>
          <w:rFonts w:cs="Times New Roman"/>
        </w:rPr>
        <w:t xml:space="preserve">procedures </w:t>
      </w:r>
      <w:r w:rsidRPr="00282F67">
        <w:rPr>
          <w:rFonts w:cs="Times New Roman"/>
        </w:rPr>
        <w:t>consistent with applicable law regarding the hiring of employees or former employees of the hospital's independent auditors</w:t>
      </w:r>
    </w:p>
    <w:p w14:paraId="2E3E41EA" w14:textId="77777777" w:rsidR="008D6F5F" w:rsidRDefault="008D6F5F" w:rsidP="00974E41">
      <w:pPr>
        <w:pStyle w:val="ListParagraph"/>
        <w:numPr>
          <w:ilvl w:val="0"/>
          <w:numId w:val="26"/>
        </w:numPr>
        <w:spacing w:after="120" w:line="264" w:lineRule="auto"/>
        <w:ind w:left="1080"/>
        <w:contextualSpacing w:val="0"/>
        <w:rPr>
          <w:rFonts w:cs="Times New Roman"/>
        </w:rPr>
      </w:pPr>
      <w:r>
        <w:rPr>
          <w:rFonts w:cs="Times New Roman"/>
        </w:rPr>
        <w:t>Set</w:t>
      </w:r>
      <w:r w:rsidR="00A47BA2">
        <w:rPr>
          <w:rFonts w:cs="Times New Roman"/>
        </w:rPr>
        <w:t>s</w:t>
      </w:r>
      <w:r>
        <w:rPr>
          <w:rFonts w:cs="Times New Roman"/>
        </w:rPr>
        <w:t xml:space="preserve"> policies</w:t>
      </w:r>
      <w:r w:rsidRPr="008D6F5F">
        <w:rPr>
          <w:rFonts w:cs="Times New Roman"/>
        </w:rPr>
        <w:t xml:space="preserve"> </w:t>
      </w:r>
      <w:r>
        <w:rPr>
          <w:rFonts w:cs="Times New Roman"/>
        </w:rPr>
        <w:t xml:space="preserve">and </w:t>
      </w:r>
      <w:r w:rsidRPr="00282F67">
        <w:rPr>
          <w:rFonts w:cs="Times New Roman"/>
        </w:rPr>
        <w:t>procedures</w:t>
      </w:r>
      <w:r w:rsidR="00A47BA2">
        <w:rPr>
          <w:rFonts w:cs="Times New Roman"/>
        </w:rPr>
        <w:t xml:space="preserve"> for review of executive compensation and benefits</w:t>
      </w:r>
    </w:p>
    <w:p w14:paraId="2573721F" w14:textId="77777777" w:rsidR="00A47BA2" w:rsidRDefault="00A47BA2" w:rsidP="00974E41">
      <w:pPr>
        <w:pStyle w:val="ListParagraph"/>
        <w:numPr>
          <w:ilvl w:val="0"/>
          <w:numId w:val="26"/>
        </w:numPr>
        <w:spacing w:after="120" w:line="264" w:lineRule="auto"/>
        <w:ind w:left="1080"/>
        <w:contextualSpacing w:val="0"/>
        <w:rPr>
          <w:rFonts w:cs="Times New Roman"/>
        </w:rPr>
      </w:pPr>
      <w:r>
        <w:rPr>
          <w:rFonts w:cs="Times New Roman"/>
        </w:rPr>
        <w:t xml:space="preserve">When </w:t>
      </w:r>
      <w:r w:rsidR="00CE6BB5">
        <w:rPr>
          <w:rFonts w:cs="Times New Roman"/>
        </w:rPr>
        <w:t>necessary and appropriate</w:t>
      </w:r>
      <w:r>
        <w:rPr>
          <w:rFonts w:cs="Times New Roman"/>
        </w:rPr>
        <w:t>, initiates and oversees special investigations</w:t>
      </w:r>
    </w:p>
    <w:p w14:paraId="58EDC702" w14:textId="77777777" w:rsidR="00E2004B" w:rsidRDefault="00E2004B" w:rsidP="00E2004B">
      <w:pPr>
        <w:spacing w:after="120" w:line="264" w:lineRule="auto"/>
        <w:rPr>
          <w:rFonts w:cs="Times New Roman"/>
        </w:rPr>
      </w:pPr>
    </w:p>
    <w:p w14:paraId="34F876F6" w14:textId="77777777" w:rsidR="00E2004B" w:rsidRPr="00E2004B" w:rsidRDefault="00E2004B" w:rsidP="00E2004B">
      <w:pPr>
        <w:spacing w:after="120" w:line="264" w:lineRule="auto"/>
        <w:ind w:left="360"/>
        <w:rPr>
          <w:rFonts w:cs="Times New Roman"/>
          <w:b/>
          <w:i/>
        </w:rPr>
      </w:pPr>
      <w:r w:rsidRPr="00E2004B">
        <w:rPr>
          <w:rFonts w:cs="Times New Roman"/>
          <w:b/>
          <w:i/>
        </w:rPr>
        <w:t>Committee Performance</w:t>
      </w:r>
    </w:p>
    <w:p w14:paraId="3AF89009" w14:textId="77777777" w:rsidR="00282F67" w:rsidRPr="00282F67" w:rsidRDefault="00282F67" w:rsidP="00974E41">
      <w:pPr>
        <w:pStyle w:val="ListParagraph"/>
        <w:numPr>
          <w:ilvl w:val="0"/>
          <w:numId w:val="26"/>
        </w:numPr>
        <w:spacing w:after="120" w:line="264" w:lineRule="auto"/>
        <w:ind w:left="1080"/>
        <w:contextualSpacing w:val="0"/>
        <w:rPr>
          <w:rFonts w:cs="Times New Roman"/>
        </w:rPr>
      </w:pPr>
      <w:r>
        <w:rPr>
          <w:rFonts w:cs="Times New Roman"/>
        </w:rPr>
        <w:t>C</w:t>
      </w:r>
      <w:r w:rsidRPr="00282F67">
        <w:rPr>
          <w:rFonts w:cs="Times New Roman"/>
        </w:rPr>
        <w:t>onduct</w:t>
      </w:r>
      <w:r w:rsidR="00A47BA2">
        <w:rPr>
          <w:rFonts w:cs="Times New Roman"/>
        </w:rPr>
        <w:t>s</w:t>
      </w:r>
      <w:r w:rsidRPr="00282F67">
        <w:rPr>
          <w:rFonts w:cs="Times New Roman"/>
        </w:rPr>
        <w:t xml:space="preserve"> an annual review and evaluation of the committee’s performance, including its compliance with this charter.</w:t>
      </w:r>
    </w:p>
    <w:p w14:paraId="6CBA8CD9" w14:textId="77777777" w:rsidR="00061C6E" w:rsidRPr="00061C6E" w:rsidRDefault="00061C6E" w:rsidP="003305AC">
      <w:pPr>
        <w:spacing w:after="120" w:line="264" w:lineRule="auto"/>
        <w:rPr>
          <w:rFonts w:cs="Times New Roman"/>
        </w:rPr>
      </w:pPr>
    </w:p>
    <w:p w14:paraId="4BBA4A08" w14:textId="77777777" w:rsidR="00011751" w:rsidRPr="008D17F2" w:rsidRDefault="00011751" w:rsidP="003305AC">
      <w:pPr>
        <w:spacing w:after="120" w:line="264" w:lineRule="auto"/>
        <w:rPr>
          <w:rFonts w:cs="Times New Roman"/>
          <w:b/>
          <w:sz w:val="28"/>
        </w:rPr>
      </w:pPr>
      <w:r w:rsidRPr="008D17F2">
        <w:rPr>
          <w:rFonts w:cs="Times New Roman"/>
          <w:b/>
          <w:sz w:val="28"/>
        </w:rPr>
        <w:t>Reporting</w:t>
      </w:r>
    </w:p>
    <w:p w14:paraId="44B6EFA5" w14:textId="77777777" w:rsidR="00967CAA" w:rsidRDefault="00D12B73" w:rsidP="003305AC">
      <w:pPr>
        <w:spacing w:after="120" w:line="264" w:lineRule="auto"/>
        <w:rPr>
          <w:rFonts w:cs="Times New Roman"/>
        </w:rPr>
      </w:pPr>
      <w:r>
        <w:rPr>
          <w:rFonts w:cs="Times New Roman"/>
        </w:rPr>
        <w:t>Reports to the Board of Trustees</w:t>
      </w:r>
    </w:p>
    <w:p w14:paraId="39146582" w14:textId="77777777" w:rsidR="00B57F7D" w:rsidRDefault="00B57F7D" w:rsidP="003305AC">
      <w:pPr>
        <w:spacing w:after="120" w:line="264" w:lineRule="auto"/>
        <w:rPr>
          <w:rFonts w:cs="Times New Roman"/>
        </w:rPr>
      </w:pPr>
    </w:p>
    <w:p w14:paraId="5E86FA86" w14:textId="77777777" w:rsidR="00011751" w:rsidRDefault="00011751" w:rsidP="003305AC">
      <w:pPr>
        <w:spacing w:after="120" w:line="264" w:lineRule="auto"/>
        <w:rPr>
          <w:b/>
        </w:rPr>
      </w:pPr>
    </w:p>
    <w:p w14:paraId="7B45DFC3" w14:textId="77777777" w:rsidR="00560BCD" w:rsidRDefault="00560BCD" w:rsidP="003305AC">
      <w:pPr>
        <w:spacing w:after="120" w:line="264" w:lineRule="auto"/>
        <w:rPr>
          <w:b/>
        </w:rPr>
      </w:pPr>
      <w:r>
        <w:rPr>
          <w:b/>
        </w:rPr>
        <w:t xml:space="preserve">Date of Board </w:t>
      </w:r>
      <w:r w:rsidRPr="008203AA">
        <w:rPr>
          <w:b/>
        </w:rPr>
        <w:t>Approval</w:t>
      </w:r>
      <w:r>
        <w:rPr>
          <w:b/>
        </w:rPr>
        <w:t>:</w:t>
      </w:r>
    </w:p>
    <w:p w14:paraId="42A62A0F" w14:textId="77777777" w:rsidR="00560BCD" w:rsidRDefault="00560BCD" w:rsidP="003305AC">
      <w:pPr>
        <w:spacing w:after="120" w:line="264" w:lineRule="auto"/>
        <w:rPr>
          <w:b/>
        </w:rPr>
      </w:pPr>
      <w:r>
        <w:rPr>
          <w:b/>
        </w:rPr>
        <w:t xml:space="preserve">Dates of </w:t>
      </w:r>
      <w:r w:rsidRPr="008203AA">
        <w:rPr>
          <w:b/>
        </w:rPr>
        <w:t>R</w:t>
      </w:r>
      <w:r>
        <w:rPr>
          <w:b/>
        </w:rPr>
        <w:t>eviews and/or R</w:t>
      </w:r>
      <w:r w:rsidRPr="008203AA">
        <w:rPr>
          <w:b/>
        </w:rPr>
        <w:t>evisions</w:t>
      </w:r>
      <w:r>
        <w:rPr>
          <w:b/>
        </w:rPr>
        <w:t>:</w:t>
      </w:r>
    </w:p>
    <w:p w14:paraId="7BA862C7" w14:textId="77777777" w:rsidR="00974E41" w:rsidRDefault="00974E41" w:rsidP="003305AC">
      <w:pPr>
        <w:spacing w:after="120" w:line="264" w:lineRule="auto"/>
        <w:rPr>
          <w:b/>
        </w:rPr>
      </w:pPr>
    </w:p>
    <w:p w14:paraId="05E26AA0" w14:textId="77777777" w:rsidR="00FE30D8" w:rsidRDefault="00FE30D8">
      <w:pPr>
        <w:rPr>
          <w:sz w:val="20"/>
          <w:szCs w:val="20"/>
        </w:rPr>
      </w:pPr>
      <w:r>
        <w:rPr>
          <w:sz w:val="20"/>
          <w:szCs w:val="20"/>
        </w:rPr>
        <w:br w:type="page"/>
      </w:r>
    </w:p>
    <w:p w14:paraId="7ACE3C89" w14:textId="77777777" w:rsidR="009E6174" w:rsidRPr="006043C7" w:rsidRDefault="009E6174" w:rsidP="009E6174">
      <w:pPr>
        <w:spacing w:after="120"/>
        <w:rPr>
          <w:sz w:val="20"/>
          <w:szCs w:val="20"/>
        </w:rPr>
      </w:pPr>
      <w:r w:rsidRPr="006043C7">
        <w:rPr>
          <w:sz w:val="20"/>
          <w:szCs w:val="20"/>
        </w:rPr>
        <w:lastRenderedPageBreak/>
        <w:t>© 201</w:t>
      </w:r>
      <w:r>
        <w:rPr>
          <w:sz w:val="20"/>
          <w:szCs w:val="20"/>
        </w:rPr>
        <w:t>9</w:t>
      </w:r>
      <w:r w:rsidRPr="006043C7">
        <w:rPr>
          <w:sz w:val="20"/>
          <w:szCs w:val="20"/>
        </w:rPr>
        <w:t xml:space="preserve">, </w:t>
      </w:r>
      <w:r>
        <w:rPr>
          <w:sz w:val="20"/>
          <w:szCs w:val="20"/>
        </w:rPr>
        <w:t>governWell</w:t>
      </w:r>
      <w:r>
        <w:rPr>
          <w:rFonts w:cs="Times New Roman"/>
          <w:sz w:val="20"/>
          <w:szCs w:val="20"/>
        </w:rPr>
        <w:t>™</w:t>
      </w:r>
    </w:p>
    <w:p w14:paraId="479BE810" w14:textId="77777777" w:rsidR="00974E41" w:rsidRPr="006043C7" w:rsidRDefault="00974E41" w:rsidP="00974E41">
      <w:pPr>
        <w:spacing w:after="120"/>
        <w:rPr>
          <w:sz w:val="20"/>
          <w:szCs w:val="20"/>
        </w:rPr>
      </w:pPr>
      <w:bookmarkStart w:id="0" w:name="_GoBack"/>
      <w:bookmarkEnd w:id="0"/>
      <w:r w:rsidRPr="006043C7">
        <w:rPr>
          <w:sz w:val="20"/>
          <w:szCs w:val="20"/>
        </w:rPr>
        <w:t xml:space="preserve">The contents of GovernWell, including all contents of the </w:t>
      </w:r>
      <w:proofErr w:type="spellStart"/>
      <w:r w:rsidRPr="006043C7">
        <w:rPr>
          <w:sz w:val="20"/>
          <w:szCs w:val="20"/>
        </w:rPr>
        <w:t>TaskWell</w:t>
      </w:r>
      <w:proofErr w:type="spellEnd"/>
      <w:r w:rsidRPr="006043C7">
        <w:rPr>
          <w:sz w:val="20"/>
          <w:szCs w:val="20"/>
        </w:rPr>
        <w:t xml:space="preserve"> toolkit included with it, are intended to serve only as an example of content a Licensee organization may choose to include in its own resource materials.  The modification, inclusion or exclusion of any content in the materials included herein is made at the sole discretion of the Licensee.</w:t>
      </w:r>
    </w:p>
    <w:p w14:paraId="432290CB" w14:textId="77777777" w:rsidR="00974E41" w:rsidRPr="006043C7" w:rsidRDefault="00974E41" w:rsidP="00974E41">
      <w:pPr>
        <w:rPr>
          <w:b/>
          <w:sz w:val="32"/>
          <w:szCs w:val="32"/>
        </w:rPr>
      </w:pPr>
      <w:r w:rsidRPr="006043C7">
        <w:rPr>
          <w:sz w:val="20"/>
          <w:szCs w:val="20"/>
        </w:rPr>
        <w:t>Any and all governance materials the Licensee may develop should be reviewed by the Licensee’s legal counsel for compliance with local, state and federal laws and regulations and its existing policies and practices prior to adoption and implementation.  The Company mak</w:t>
      </w:r>
      <w:r w:rsidR="00F4632B">
        <w:rPr>
          <w:sz w:val="20"/>
          <w:szCs w:val="20"/>
        </w:rPr>
        <w:t>es no warranties regarding the C</w:t>
      </w:r>
      <w:r w:rsidRPr="006043C7">
        <w:rPr>
          <w:sz w:val="20"/>
          <w:szCs w:val="20"/>
        </w:rPr>
        <w:t>harters in GovernWell, and specifically disclaims the warranties of merchantability and fitness for a particular purpose.</w:t>
      </w:r>
    </w:p>
    <w:p w14:paraId="20199390" w14:textId="77777777" w:rsidR="00974E41" w:rsidRPr="008203AA" w:rsidRDefault="00974E41" w:rsidP="003305AC">
      <w:pPr>
        <w:spacing w:after="120" w:line="264" w:lineRule="auto"/>
        <w:rPr>
          <w:b/>
        </w:rPr>
      </w:pPr>
    </w:p>
    <w:sectPr w:rsidR="00974E41" w:rsidRPr="008203AA" w:rsidSect="00115E44">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7A97A" w14:textId="77777777" w:rsidR="00860A2B" w:rsidRDefault="00860A2B" w:rsidP="00AE2741">
      <w:pPr>
        <w:spacing w:after="0" w:line="240" w:lineRule="auto"/>
      </w:pPr>
      <w:r>
        <w:separator/>
      </w:r>
    </w:p>
  </w:endnote>
  <w:endnote w:type="continuationSeparator" w:id="0">
    <w:p w14:paraId="64AF548F" w14:textId="77777777" w:rsidR="00860A2B" w:rsidRDefault="00860A2B" w:rsidP="00AE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FABE" w14:textId="77777777" w:rsidR="00AE2741" w:rsidRDefault="00C20123">
    <w:pPr>
      <w:pStyle w:val="Footer"/>
      <w:jc w:val="right"/>
    </w:pPr>
    <w:r>
      <w:t>Audit and Compliance</w:t>
    </w:r>
    <w:r w:rsidR="00AE2741">
      <w:t xml:space="preserve"> Committee Charter</w:t>
    </w:r>
    <w:r w:rsidR="00AE2741">
      <w:tab/>
    </w:r>
    <w:r w:rsidR="00AE2741">
      <w:tab/>
    </w:r>
    <w:sdt>
      <w:sdtPr>
        <w:id w:val="1004320916"/>
        <w:docPartObj>
          <w:docPartGallery w:val="Page Numbers (Bottom of Page)"/>
          <w:docPartUnique/>
        </w:docPartObj>
      </w:sdtPr>
      <w:sdtEndPr>
        <w:rPr>
          <w:noProof/>
        </w:rPr>
      </w:sdtEndPr>
      <w:sdtContent>
        <w:r w:rsidR="00AE2741">
          <w:fldChar w:fldCharType="begin"/>
        </w:r>
        <w:r w:rsidR="00AE2741">
          <w:instrText xml:space="preserve"> PAGE   \* MERGEFORMAT </w:instrText>
        </w:r>
        <w:r w:rsidR="00AE2741">
          <w:fldChar w:fldCharType="separate"/>
        </w:r>
        <w:r w:rsidR="003372A6">
          <w:rPr>
            <w:noProof/>
          </w:rPr>
          <w:t>5</w:t>
        </w:r>
        <w:r w:rsidR="00AE274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04B1C" w14:textId="77777777" w:rsidR="00860A2B" w:rsidRDefault="00860A2B" w:rsidP="00AE2741">
      <w:pPr>
        <w:spacing w:after="0" w:line="240" w:lineRule="auto"/>
      </w:pPr>
      <w:r>
        <w:separator/>
      </w:r>
    </w:p>
  </w:footnote>
  <w:footnote w:type="continuationSeparator" w:id="0">
    <w:p w14:paraId="1C55701B" w14:textId="77777777" w:rsidR="00860A2B" w:rsidRDefault="00860A2B" w:rsidP="00AE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982D" w14:textId="77777777" w:rsidR="00331A3F" w:rsidRDefault="00331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562"/>
    <w:multiLevelType w:val="hybridMultilevel"/>
    <w:tmpl w:val="6212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124C"/>
    <w:multiLevelType w:val="hybridMultilevel"/>
    <w:tmpl w:val="42C4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5031C"/>
    <w:multiLevelType w:val="hybridMultilevel"/>
    <w:tmpl w:val="DE54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610A2"/>
    <w:multiLevelType w:val="hybridMultilevel"/>
    <w:tmpl w:val="A9640F6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66AD5"/>
    <w:multiLevelType w:val="hybridMultilevel"/>
    <w:tmpl w:val="8B20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A69D0"/>
    <w:multiLevelType w:val="hybridMultilevel"/>
    <w:tmpl w:val="22D82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0596"/>
    <w:multiLevelType w:val="hybridMultilevel"/>
    <w:tmpl w:val="7C3EC46E"/>
    <w:lvl w:ilvl="0" w:tplc="6D0C069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6FE4"/>
    <w:multiLevelType w:val="hybridMultilevel"/>
    <w:tmpl w:val="BD34F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F1F15"/>
    <w:multiLevelType w:val="hybridMultilevel"/>
    <w:tmpl w:val="604CD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0C02D4"/>
    <w:multiLevelType w:val="hybridMultilevel"/>
    <w:tmpl w:val="4004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C468B"/>
    <w:multiLevelType w:val="hybridMultilevel"/>
    <w:tmpl w:val="30707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C06916"/>
    <w:multiLevelType w:val="hybridMultilevel"/>
    <w:tmpl w:val="5862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35A80"/>
    <w:multiLevelType w:val="hybridMultilevel"/>
    <w:tmpl w:val="433CBA9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A1A04"/>
    <w:multiLevelType w:val="hybridMultilevel"/>
    <w:tmpl w:val="9972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E2F49"/>
    <w:multiLevelType w:val="hybridMultilevel"/>
    <w:tmpl w:val="731ECDA4"/>
    <w:lvl w:ilvl="0" w:tplc="58A669AE">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732440"/>
    <w:multiLevelType w:val="hybridMultilevel"/>
    <w:tmpl w:val="EC1A2F82"/>
    <w:lvl w:ilvl="0" w:tplc="58A669AE">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247D70"/>
    <w:multiLevelType w:val="hybridMultilevel"/>
    <w:tmpl w:val="2ABE472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02B5F"/>
    <w:multiLevelType w:val="hybridMultilevel"/>
    <w:tmpl w:val="474C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23CC0"/>
    <w:multiLevelType w:val="hybridMultilevel"/>
    <w:tmpl w:val="71A0A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6407DC"/>
    <w:multiLevelType w:val="hybridMultilevel"/>
    <w:tmpl w:val="53BE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B17D1"/>
    <w:multiLevelType w:val="hybridMultilevel"/>
    <w:tmpl w:val="D0A867EA"/>
    <w:lvl w:ilvl="0" w:tplc="04090001">
      <w:start w:val="1"/>
      <w:numFmt w:val="bullet"/>
      <w:lvlText w:val=""/>
      <w:lvlJc w:val="left"/>
      <w:pPr>
        <w:ind w:left="360" w:hanging="360"/>
      </w:pPr>
      <w:rPr>
        <w:rFonts w:ascii="Symbol" w:hAnsi="Symbol" w:hint="default"/>
      </w:rPr>
    </w:lvl>
    <w:lvl w:ilvl="1" w:tplc="58A669A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9409CF"/>
    <w:multiLevelType w:val="hybridMultilevel"/>
    <w:tmpl w:val="13C0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70A2E"/>
    <w:multiLevelType w:val="hybridMultilevel"/>
    <w:tmpl w:val="1C16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E3907"/>
    <w:multiLevelType w:val="hybridMultilevel"/>
    <w:tmpl w:val="0CD4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D3C3D"/>
    <w:multiLevelType w:val="hybridMultilevel"/>
    <w:tmpl w:val="4FE09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F41C77"/>
    <w:multiLevelType w:val="hybridMultilevel"/>
    <w:tmpl w:val="805EF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C503D9"/>
    <w:multiLevelType w:val="hybridMultilevel"/>
    <w:tmpl w:val="9392E8D0"/>
    <w:lvl w:ilvl="0" w:tplc="5E88F94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15A786D"/>
    <w:multiLevelType w:val="hybridMultilevel"/>
    <w:tmpl w:val="4390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66AC7"/>
    <w:multiLevelType w:val="hybridMultilevel"/>
    <w:tmpl w:val="286625F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83D20"/>
    <w:multiLevelType w:val="hybridMultilevel"/>
    <w:tmpl w:val="6DB8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837EA"/>
    <w:multiLevelType w:val="hybridMultilevel"/>
    <w:tmpl w:val="9116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F42053"/>
    <w:multiLevelType w:val="hybridMultilevel"/>
    <w:tmpl w:val="83A6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C03E4"/>
    <w:multiLevelType w:val="hybridMultilevel"/>
    <w:tmpl w:val="EE889E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A5202C"/>
    <w:multiLevelType w:val="hybridMultilevel"/>
    <w:tmpl w:val="89E47C10"/>
    <w:lvl w:ilvl="0" w:tplc="58A669A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6127B"/>
    <w:multiLevelType w:val="hybridMultilevel"/>
    <w:tmpl w:val="336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354D7"/>
    <w:multiLevelType w:val="hybridMultilevel"/>
    <w:tmpl w:val="074C2C94"/>
    <w:lvl w:ilvl="0" w:tplc="6D0C069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330AC"/>
    <w:multiLevelType w:val="hybridMultilevel"/>
    <w:tmpl w:val="04627B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93FEA"/>
    <w:multiLevelType w:val="hybridMultilevel"/>
    <w:tmpl w:val="C17E8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9C139C"/>
    <w:multiLevelType w:val="hybridMultilevel"/>
    <w:tmpl w:val="A43AC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12922"/>
    <w:multiLevelType w:val="hybridMultilevel"/>
    <w:tmpl w:val="6E820D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24"/>
  </w:num>
  <w:num w:numId="4">
    <w:abstractNumId w:val="26"/>
  </w:num>
  <w:num w:numId="5">
    <w:abstractNumId w:val="8"/>
  </w:num>
  <w:num w:numId="6">
    <w:abstractNumId w:val="31"/>
  </w:num>
  <w:num w:numId="7">
    <w:abstractNumId w:val="1"/>
  </w:num>
  <w:num w:numId="8">
    <w:abstractNumId w:val="29"/>
  </w:num>
  <w:num w:numId="9">
    <w:abstractNumId w:val="34"/>
  </w:num>
  <w:num w:numId="10">
    <w:abstractNumId w:val="2"/>
  </w:num>
  <w:num w:numId="11">
    <w:abstractNumId w:val="9"/>
  </w:num>
  <w:num w:numId="12">
    <w:abstractNumId w:val="13"/>
  </w:num>
  <w:num w:numId="13">
    <w:abstractNumId w:val="19"/>
  </w:num>
  <w:num w:numId="14">
    <w:abstractNumId w:val="23"/>
  </w:num>
  <w:num w:numId="15">
    <w:abstractNumId w:val="39"/>
  </w:num>
  <w:num w:numId="16">
    <w:abstractNumId w:val="36"/>
  </w:num>
  <w:num w:numId="17">
    <w:abstractNumId w:val="6"/>
  </w:num>
  <w:num w:numId="18">
    <w:abstractNumId w:val="3"/>
  </w:num>
  <w:num w:numId="19">
    <w:abstractNumId w:val="16"/>
  </w:num>
  <w:num w:numId="20">
    <w:abstractNumId w:val="35"/>
  </w:num>
  <w:num w:numId="21">
    <w:abstractNumId w:val="12"/>
  </w:num>
  <w:num w:numId="22">
    <w:abstractNumId w:val="28"/>
  </w:num>
  <w:num w:numId="23">
    <w:abstractNumId w:val="0"/>
  </w:num>
  <w:num w:numId="24">
    <w:abstractNumId w:val="27"/>
  </w:num>
  <w:num w:numId="25">
    <w:abstractNumId w:val="37"/>
  </w:num>
  <w:num w:numId="26">
    <w:abstractNumId w:val="17"/>
  </w:num>
  <w:num w:numId="27">
    <w:abstractNumId w:val="30"/>
  </w:num>
  <w:num w:numId="28">
    <w:abstractNumId w:val="38"/>
  </w:num>
  <w:num w:numId="29">
    <w:abstractNumId w:val="4"/>
  </w:num>
  <w:num w:numId="30">
    <w:abstractNumId w:val="11"/>
  </w:num>
  <w:num w:numId="31">
    <w:abstractNumId w:val="33"/>
  </w:num>
  <w:num w:numId="32">
    <w:abstractNumId w:val="21"/>
  </w:num>
  <w:num w:numId="33">
    <w:abstractNumId w:val="22"/>
  </w:num>
  <w:num w:numId="34">
    <w:abstractNumId w:val="32"/>
  </w:num>
  <w:num w:numId="35">
    <w:abstractNumId w:val="20"/>
  </w:num>
  <w:num w:numId="36">
    <w:abstractNumId w:val="18"/>
  </w:num>
  <w:num w:numId="37">
    <w:abstractNumId w:val="14"/>
  </w:num>
  <w:num w:numId="38">
    <w:abstractNumId w:val="25"/>
  </w:num>
  <w:num w:numId="39">
    <w:abstractNumId w:val="5"/>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5E5"/>
    <w:rsid w:val="00011751"/>
    <w:rsid w:val="00014FA3"/>
    <w:rsid w:val="00061C6E"/>
    <w:rsid w:val="000D45F3"/>
    <w:rsid w:val="000D4C81"/>
    <w:rsid w:val="000E0C72"/>
    <w:rsid w:val="00115E44"/>
    <w:rsid w:val="001A05F2"/>
    <w:rsid w:val="00205A0B"/>
    <w:rsid w:val="00211FCD"/>
    <w:rsid w:val="002217E2"/>
    <w:rsid w:val="00233117"/>
    <w:rsid w:val="00267A39"/>
    <w:rsid w:val="00270AB6"/>
    <w:rsid w:val="00282F67"/>
    <w:rsid w:val="003246F4"/>
    <w:rsid w:val="003258CB"/>
    <w:rsid w:val="003305AC"/>
    <w:rsid w:val="00331A3F"/>
    <w:rsid w:val="003372A6"/>
    <w:rsid w:val="00356FEA"/>
    <w:rsid w:val="00396550"/>
    <w:rsid w:val="003A0A06"/>
    <w:rsid w:val="003C17F5"/>
    <w:rsid w:val="003C7315"/>
    <w:rsid w:val="003E48B7"/>
    <w:rsid w:val="00496EBF"/>
    <w:rsid w:val="004B2970"/>
    <w:rsid w:val="004E50BD"/>
    <w:rsid w:val="00560BCD"/>
    <w:rsid w:val="005A56DC"/>
    <w:rsid w:val="005C3A10"/>
    <w:rsid w:val="005D002E"/>
    <w:rsid w:val="005D6EAC"/>
    <w:rsid w:val="005F4796"/>
    <w:rsid w:val="005F54B5"/>
    <w:rsid w:val="00603415"/>
    <w:rsid w:val="006043C7"/>
    <w:rsid w:val="0060706F"/>
    <w:rsid w:val="006679F6"/>
    <w:rsid w:val="00677E95"/>
    <w:rsid w:val="006D28A6"/>
    <w:rsid w:val="00700225"/>
    <w:rsid w:val="007103D2"/>
    <w:rsid w:val="00714D38"/>
    <w:rsid w:val="00733794"/>
    <w:rsid w:val="007349C7"/>
    <w:rsid w:val="007768B7"/>
    <w:rsid w:val="007971E4"/>
    <w:rsid w:val="007B4196"/>
    <w:rsid w:val="007C6085"/>
    <w:rsid w:val="008203AA"/>
    <w:rsid w:val="00822F50"/>
    <w:rsid w:val="00860A2B"/>
    <w:rsid w:val="008D17F2"/>
    <w:rsid w:val="008D6F5F"/>
    <w:rsid w:val="008E1F36"/>
    <w:rsid w:val="00907015"/>
    <w:rsid w:val="00914210"/>
    <w:rsid w:val="00946EEE"/>
    <w:rsid w:val="00967CAA"/>
    <w:rsid w:val="00974E41"/>
    <w:rsid w:val="009A6D3D"/>
    <w:rsid w:val="009B11F9"/>
    <w:rsid w:val="009E6174"/>
    <w:rsid w:val="00A005EA"/>
    <w:rsid w:val="00A160BE"/>
    <w:rsid w:val="00A23802"/>
    <w:rsid w:val="00A3097D"/>
    <w:rsid w:val="00A31612"/>
    <w:rsid w:val="00A47BA2"/>
    <w:rsid w:val="00AC6076"/>
    <w:rsid w:val="00AE2741"/>
    <w:rsid w:val="00AE2906"/>
    <w:rsid w:val="00AF67DE"/>
    <w:rsid w:val="00B04634"/>
    <w:rsid w:val="00B57F7D"/>
    <w:rsid w:val="00B7214B"/>
    <w:rsid w:val="00B854A8"/>
    <w:rsid w:val="00B97DF9"/>
    <w:rsid w:val="00C20123"/>
    <w:rsid w:val="00C2232E"/>
    <w:rsid w:val="00C35DB9"/>
    <w:rsid w:val="00C524E3"/>
    <w:rsid w:val="00C8266B"/>
    <w:rsid w:val="00CD3FDF"/>
    <w:rsid w:val="00CE256E"/>
    <w:rsid w:val="00CE2B15"/>
    <w:rsid w:val="00CE6BB5"/>
    <w:rsid w:val="00D05B20"/>
    <w:rsid w:val="00D12B73"/>
    <w:rsid w:val="00D17A51"/>
    <w:rsid w:val="00D31229"/>
    <w:rsid w:val="00D50739"/>
    <w:rsid w:val="00D72B62"/>
    <w:rsid w:val="00D86AEF"/>
    <w:rsid w:val="00D94667"/>
    <w:rsid w:val="00DD6883"/>
    <w:rsid w:val="00DE73D9"/>
    <w:rsid w:val="00E16C8E"/>
    <w:rsid w:val="00E2004B"/>
    <w:rsid w:val="00E767AD"/>
    <w:rsid w:val="00EB0A82"/>
    <w:rsid w:val="00EC0E52"/>
    <w:rsid w:val="00EF1087"/>
    <w:rsid w:val="00EF21F4"/>
    <w:rsid w:val="00F0543C"/>
    <w:rsid w:val="00F137A4"/>
    <w:rsid w:val="00F16F00"/>
    <w:rsid w:val="00F31833"/>
    <w:rsid w:val="00F4632B"/>
    <w:rsid w:val="00F475E5"/>
    <w:rsid w:val="00F81724"/>
    <w:rsid w:val="00F86CAB"/>
    <w:rsid w:val="00FC48BE"/>
    <w:rsid w:val="00FE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B85F7"/>
  <w15:docId w15:val="{EFAF0570-5B7B-4ABE-A676-1C705CAB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AA"/>
    <w:pPr>
      <w:ind w:left="720"/>
      <w:contextualSpacing/>
    </w:pPr>
  </w:style>
  <w:style w:type="paragraph" w:styleId="Header">
    <w:name w:val="header"/>
    <w:basedOn w:val="Normal"/>
    <w:link w:val="HeaderChar"/>
    <w:uiPriority w:val="99"/>
    <w:unhideWhenUsed/>
    <w:rsid w:val="00AE2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741"/>
  </w:style>
  <w:style w:type="paragraph" w:styleId="Footer">
    <w:name w:val="footer"/>
    <w:basedOn w:val="Normal"/>
    <w:link w:val="FooterChar"/>
    <w:uiPriority w:val="99"/>
    <w:unhideWhenUsed/>
    <w:rsid w:val="00AE2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741"/>
  </w:style>
  <w:style w:type="paragraph" w:styleId="BalloonText">
    <w:name w:val="Balloon Text"/>
    <w:basedOn w:val="Normal"/>
    <w:link w:val="BalloonTextChar"/>
    <w:uiPriority w:val="99"/>
    <w:semiHidden/>
    <w:unhideWhenUsed/>
    <w:rsid w:val="00DD6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5654">
      <w:bodyDiv w:val="1"/>
      <w:marLeft w:val="0"/>
      <w:marRight w:val="0"/>
      <w:marTop w:val="0"/>
      <w:marBottom w:val="0"/>
      <w:divBdr>
        <w:top w:val="none" w:sz="0" w:space="0" w:color="auto"/>
        <w:left w:val="none" w:sz="0" w:space="0" w:color="auto"/>
        <w:bottom w:val="none" w:sz="0" w:space="0" w:color="auto"/>
        <w:right w:val="none" w:sz="0" w:space="0" w:color="auto"/>
      </w:divBdr>
    </w:div>
    <w:div w:id="502739696">
      <w:bodyDiv w:val="1"/>
      <w:marLeft w:val="0"/>
      <w:marRight w:val="0"/>
      <w:marTop w:val="0"/>
      <w:marBottom w:val="0"/>
      <w:divBdr>
        <w:top w:val="none" w:sz="0" w:space="0" w:color="auto"/>
        <w:left w:val="none" w:sz="0" w:space="0" w:color="auto"/>
        <w:bottom w:val="none" w:sz="0" w:space="0" w:color="auto"/>
        <w:right w:val="none" w:sz="0" w:space="0" w:color="auto"/>
      </w:divBdr>
    </w:div>
    <w:div w:id="509637536">
      <w:bodyDiv w:val="1"/>
      <w:marLeft w:val="0"/>
      <w:marRight w:val="0"/>
      <w:marTop w:val="0"/>
      <w:marBottom w:val="0"/>
      <w:divBdr>
        <w:top w:val="none" w:sz="0" w:space="0" w:color="auto"/>
        <w:left w:val="none" w:sz="0" w:space="0" w:color="auto"/>
        <w:bottom w:val="none" w:sz="0" w:space="0" w:color="auto"/>
        <w:right w:val="none" w:sz="0" w:space="0" w:color="auto"/>
      </w:divBdr>
    </w:div>
    <w:div w:id="716927755">
      <w:bodyDiv w:val="1"/>
      <w:marLeft w:val="0"/>
      <w:marRight w:val="0"/>
      <w:marTop w:val="0"/>
      <w:marBottom w:val="0"/>
      <w:divBdr>
        <w:top w:val="none" w:sz="0" w:space="0" w:color="auto"/>
        <w:left w:val="none" w:sz="0" w:space="0" w:color="auto"/>
        <w:bottom w:val="none" w:sz="0" w:space="0" w:color="auto"/>
        <w:right w:val="none" w:sz="0" w:space="0" w:color="auto"/>
      </w:divBdr>
    </w:div>
    <w:div w:id="999038194">
      <w:bodyDiv w:val="1"/>
      <w:marLeft w:val="0"/>
      <w:marRight w:val="0"/>
      <w:marTop w:val="0"/>
      <w:marBottom w:val="0"/>
      <w:divBdr>
        <w:top w:val="none" w:sz="0" w:space="0" w:color="auto"/>
        <w:left w:val="none" w:sz="0" w:space="0" w:color="auto"/>
        <w:bottom w:val="none" w:sz="0" w:space="0" w:color="auto"/>
        <w:right w:val="none" w:sz="0" w:space="0" w:color="auto"/>
      </w:divBdr>
    </w:div>
    <w:div w:id="1227715835">
      <w:bodyDiv w:val="1"/>
      <w:marLeft w:val="0"/>
      <w:marRight w:val="0"/>
      <w:marTop w:val="0"/>
      <w:marBottom w:val="0"/>
      <w:divBdr>
        <w:top w:val="none" w:sz="0" w:space="0" w:color="auto"/>
        <w:left w:val="none" w:sz="0" w:space="0" w:color="auto"/>
        <w:bottom w:val="none" w:sz="0" w:space="0" w:color="auto"/>
        <w:right w:val="none" w:sz="0" w:space="0" w:color="auto"/>
      </w:divBdr>
    </w:div>
    <w:div w:id="1383601383">
      <w:bodyDiv w:val="1"/>
      <w:marLeft w:val="0"/>
      <w:marRight w:val="0"/>
      <w:marTop w:val="0"/>
      <w:marBottom w:val="0"/>
      <w:divBdr>
        <w:top w:val="none" w:sz="0" w:space="0" w:color="auto"/>
        <w:left w:val="none" w:sz="0" w:space="0" w:color="auto"/>
        <w:bottom w:val="none" w:sz="0" w:space="0" w:color="auto"/>
        <w:right w:val="none" w:sz="0" w:space="0" w:color="auto"/>
      </w:divBdr>
    </w:div>
    <w:div w:id="1411347979">
      <w:bodyDiv w:val="1"/>
      <w:marLeft w:val="0"/>
      <w:marRight w:val="0"/>
      <w:marTop w:val="0"/>
      <w:marBottom w:val="0"/>
      <w:divBdr>
        <w:top w:val="none" w:sz="0" w:space="0" w:color="auto"/>
        <w:left w:val="none" w:sz="0" w:space="0" w:color="auto"/>
        <w:bottom w:val="none" w:sz="0" w:space="0" w:color="auto"/>
        <w:right w:val="none" w:sz="0" w:space="0" w:color="auto"/>
      </w:divBdr>
    </w:div>
    <w:div w:id="2047098176">
      <w:bodyDiv w:val="1"/>
      <w:marLeft w:val="0"/>
      <w:marRight w:val="0"/>
      <w:marTop w:val="0"/>
      <w:marBottom w:val="0"/>
      <w:divBdr>
        <w:top w:val="none" w:sz="0" w:space="0" w:color="auto"/>
        <w:left w:val="none" w:sz="0" w:space="0" w:color="auto"/>
        <w:bottom w:val="none" w:sz="0" w:space="0" w:color="auto"/>
        <w:right w:val="none" w:sz="0" w:space="0" w:color="auto"/>
      </w:divBdr>
    </w:div>
    <w:div w:id="2102095147">
      <w:bodyDiv w:val="1"/>
      <w:marLeft w:val="0"/>
      <w:marRight w:val="0"/>
      <w:marTop w:val="0"/>
      <w:marBottom w:val="0"/>
      <w:divBdr>
        <w:top w:val="none" w:sz="0" w:space="0" w:color="auto"/>
        <w:left w:val="none" w:sz="0" w:space="0" w:color="auto"/>
        <w:bottom w:val="none" w:sz="0" w:space="0" w:color="auto"/>
        <w:right w:val="none" w:sz="0" w:space="0" w:color="auto"/>
      </w:divBdr>
    </w:div>
    <w:div w:id="2110273761">
      <w:bodyDiv w:val="1"/>
      <w:marLeft w:val="0"/>
      <w:marRight w:val="0"/>
      <w:marTop w:val="0"/>
      <w:marBottom w:val="0"/>
      <w:divBdr>
        <w:top w:val="none" w:sz="0" w:space="0" w:color="auto"/>
        <w:left w:val="none" w:sz="0" w:space="0" w:color="auto"/>
        <w:bottom w:val="none" w:sz="0" w:space="0" w:color="auto"/>
        <w:right w:val="none" w:sz="0" w:space="0" w:color="auto"/>
      </w:divBdr>
    </w:div>
    <w:div w:id="21428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9A93F-9619-434C-AB8F-85F0FF71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C-Fineran</dc:creator>
  <cp:lastModifiedBy>plorsbach@corp.amazonworkspaces.com</cp:lastModifiedBy>
  <cp:revision>13</cp:revision>
  <cp:lastPrinted>2015-11-23T18:25:00Z</cp:lastPrinted>
  <dcterms:created xsi:type="dcterms:W3CDTF">2015-11-18T19:59:00Z</dcterms:created>
  <dcterms:modified xsi:type="dcterms:W3CDTF">2019-03-18T20:50:00Z</dcterms:modified>
</cp:coreProperties>
</file>